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AE516" w14:textId="77777777" w:rsidR="000052B7" w:rsidRPr="000052B7" w:rsidRDefault="000052B7" w:rsidP="005E79E4">
      <w:pPr>
        <w:spacing w:after="0"/>
        <w:jc w:val="center"/>
        <w:rPr>
          <w:rFonts w:ascii="Verdana" w:hAnsi="Verdana"/>
          <w:b/>
          <w:bCs/>
          <w:sz w:val="20"/>
          <w:szCs w:val="20"/>
        </w:rPr>
      </w:pPr>
      <w:bookmarkStart w:id="0" w:name="_Toc354995212"/>
      <w:r w:rsidRPr="000052B7">
        <w:rPr>
          <w:rFonts w:ascii="Verdana" w:hAnsi="Verdana"/>
          <w:b/>
          <w:bCs/>
          <w:sz w:val="20"/>
          <w:szCs w:val="20"/>
        </w:rPr>
        <w:t>PARTE 2</w:t>
      </w:r>
    </w:p>
    <w:p w14:paraId="714FF5F8" w14:textId="69BDBE6E" w:rsidR="005E79E4" w:rsidRDefault="000052B7" w:rsidP="008D7193">
      <w:pPr>
        <w:spacing w:after="0"/>
        <w:jc w:val="center"/>
        <w:rPr>
          <w:rFonts w:ascii="Verdana" w:hAnsi="Verdana"/>
          <w:b/>
          <w:bCs/>
          <w:sz w:val="20"/>
          <w:szCs w:val="20"/>
        </w:rPr>
      </w:pPr>
      <w:r w:rsidRPr="000052B7">
        <w:rPr>
          <w:rFonts w:ascii="Verdana" w:hAnsi="Verdana"/>
          <w:b/>
          <w:bCs/>
          <w:sz w:val="20"/>
          <w:szCs w:val="20"/>
        </w:rPr>
        <w:t>CONTROLES DE LEY Y ASUNTOS PRUDENCIALES</w:t>
      </w:r>
    </w:p>
    <w:p w14:paraId="53E3CCC4" w14:textId="77777777" w:rsidR="008D7193" w:rsidRPr="008D7193" w:rsidRDefault="008D7193" w:rsidP="008D7193">
      <w:pPr>
        <w:spacing w:after="0"/>
        <w:jc w:val="center"/>
        <w:rPr>
          <w:rFonts w:ascii="Verdana" w:hAnsi="Verdana"/>
          <w:b/>
          <w:bCs/>
          <w:sz w:val="20"/>
          <w:szCs w:val="20"/>
        </w:rPr>
      </w:pPr>
    </w:p>
    <w:p w14:paraId="0D11B5C9" w14:textId="586D39D1" w:rsidR="000052B7" w:rsidRPr="000052B7" w:rsidRDefault="000052B7" w:rsidP="005E79E4">
      <w:pPr>
        <w:spacing w:after="0"/>
        <w:jc w:val="center"/>
        <w:rPr>
          <w:rFonts w:ascii="Verdana" w:hAnsi="Verdana"/>
          <w:b/>
          <w:bCs/>
          <w:sz w:val="20"/>
          <w:szCs w:val="20"/>
        </w:rPr>
      </w:pPr>
      <w:r w:rsidRPr="000052B7">
        <w:rPr>
          <w:rFonts w:ascii="Verdana" w:hAnsi="Verdana"/>
          <w:b/>
          <w:bCs/>
          <w:sz w:val="20"/>
          <w:szCs w:val="20"/>
        </w:rPr>
        <w:t>CAPÍTULO 4</w:t>
      </w:r>
    </w:p>
    <w:p w14:paraId="319891A4" w14:textId="0C084B5B" w:rsidR="005E79E4" w:rsidRDefault="000052B7" w:rsidP="008D7193">
      <w:pPr>
        <w:spacing w:after="0"/>
        <w:jc w:val="center"/>
        <w:rPr>
          <w:rFonts w:ascii="Verdana" w:hAnsi="Verdana"/>
          <w:b/>
          <w:bCs/>
          <w:sz w:val="20"/>
          <w:szCs w:val="20"/>
        </w:rPr>
      </w:pPr>
      <w:r w:rsidRPr="000052B7">
        <w:rPr>
          <w:rFonts w:ascii="Verdana" w:hAnsi="Verdana"/>
          <w:b/>
          <w:bCs/>
          <w:sz w:val="20"/>
          <w:szCs w:val="20"/>
        </w:rPr>
        <w:t>RELACIÓN MÍNIMA DE SOLVENCIA Y REQUERIMIENTOS DE PATRIMONIO DE LAS SOCIEDADES FIDUCIARIAS, SOCIEDADES ADMINISTRADORAS DE FONDOS DE PENSIONES Y CESANTÍAS, SOCIEDADES COMISIONISTAS DE BOLSA DE VALORES Y SOCIEDADES ADMINISTRADORAS DE INVERSIÓN</w:t>
      </w:r>
    </w:p>
    <w:p w14:paraId="61924EE0" w14:textId="77777777" w:rsidR="008D7193" w:rsidRPr="008D7193" w:rsidRDefault="008D7193" w:rsidP="008D7193">
      <w:pPr>
        <w:spacing w:after="0"/>
        <w:jc w:val="center"/>
        <w:rPr>
          <w:rFonts w:ascii="Verdana" w:hAnsi="Verdana"/>
          <w:b/>
          <w:bCs/>
          <w:sz w:val="20"/>
          <w:szCs w:val="20"/>
        </w:rPr>
      </w:pPr>
    </w:p>
    <w:p w14:paraId="219EBE3D" w14:textId="6332DEC2" w:rsidR="000052B7" w:rsidRPr="005E79E4" w:rsidRDefault="000052B7" w:rsidP="005E79E4">
      <w:pPr>
        <w:spacing w:after="0"/>
        <w:jc w:val="center"/>
        <w:rPr>
          <w:rFonts w:ascii="Verdana" w:hAnsi="Verdana"/>
          <w:b/>
          <w:bCs/>
          <w:sz w:val="20"/>
          <w:szCs w:val="20"/>
        </w:rPr>
      </w:pPr>
      <w:r w:rsidRPr="000052B7">
        <w:rPr>
          <w:rFonts w:ascii="Verdana" w:hAnsi="Verdana"/>
          <w:b/>
          <w:bCs/>
          <w:sz w:val="20"/>
          <w:szCs w:val="20"/>
        </w:rPr>
        <w:t xml:space="preserve">SECCIÓN </w:t>
      </w:r>
      <w:r w:rsidRPr="005E79E4">
        <w:rPr>
          <w:rFonts w:ascii="Verdana" w:hAnsi="Verdana"/>
          <w:b/>
          <w:bCs/>
          <w:sz w:val="20"/>
          <w:szCs w:val="20"/>
        </w:rPr>
        <w:t>3</w:t>
      </w:r>
    </w:p>
    <w:p w14:paraId="030C5A1B" w14:textId="1D01A454" w:rsidR="0021350F" w:rsidRPr="005E79E4" w:rsidRDefault="0021350F" w:rsidP="005E79E4">
      <w:pPr>
        <w:spacing w:after="0"/>
        <w:jc w:val="center"/>
        <w:rPr>
          <w:rFonts w:ascii="Verdana" w:hAnsi="Verdana"/>
          <w:b/>
          <w:bCs/>
          <w:sz w:val="20"/>
          <w:szCs w:val="20"/>
        </w:rPr>
      </w:pPr>
      <w:r w:rsidRPr="005E79E4">
        <w:rPr>
          <w:rFonts w:ascii="Verdana" w:hAnsi="Verdana"/>
          <w:b/>
          <w:bCs/>
          <w:sz w:val="20"/>
          <w:szCs w:val="20"/>
        </w:rPr>
        <w:t>DEFINICIÓN Y CÁLCULO DE LA RELACIÓN MÍNIMA DE SOLVENCIA Y REQUERIMIENTOS DE PATRIMONIO TÉCNICO DE LAS SOCIEDADES ADMINISTRADORAS DE FONDOS DE PENSIONES Y DE CESANTÍAS (AFP)</w:t>
      </w:r>
    </w:p>
    <w:bookmarkEnd w:id="0"/>
    <w:p w14:paraId="13056DB8" w14:textId="77777777" w:rsidR="0021350F" w:rsidRPr="00923E21" w:rsidRDefault="0021350F" w:rsidP="0021350F">
      <w:pPr>
        <w:jc w:val="both"/>
        <w:rPr>
          <w:rFonts w:ascii="Verdana" w:hAnsi="Verdana" w:cs="Arial"/>
          <w:sz w:val="20"/>
          <w:szCs w:val="20"/>
        </w:rPr>
      </w:pPr>
    </w:p>
    <w:p w14:paraId="524EDCFD" w14:textId="2401DE68" w:rsidR="0021350F" w:rsidRPr="00D017A9" w:rsidRDefault="008D7193" w:rsidP="00D017A9">
      <w:pPr>
        <w:spacing w:after="0" w:line="240" w:lineRule="auto"/>
        <w:jc w:val="both"/>
        <w:rPr>
          <w:rFonts w:ascii="Verdana" w:hAnsi="Verdana" w:cs="Arial"/>
          <w:b/>
          <w:bCs/>
          <w:sz w:val="20"/>
          <w:szCs w:val="20"/>
        </w:rPr>
      </w:pPr>
      <w:r w:rsidRPr="00D017A9">
        <w:rPr>
          <w:rFonts w:ascii="Verdana" w:hAnsi="Verdana" w:cs="Arial"/>
          <w:b/>
          <w:bCs/>
          <w:sz w:val="20"/>
          <w:szCs w:val="20"/>
        </w:rPr>
        <w:t>RELACIÓN MÍNIMA DE SOLVENCIA</w:t>
      </w:r>
    </w:p>
    <w:p w14:paraId="3FFE6AEE" w14:textId="77777777" w:rsidR="008D7193" w:rsidRDefault="008D7193" w:rsidP="00A2626A">
      <w:pPr>
        <w:tabs>
          <w:tab w:val="left" w:pos="540"/>
        </w:tabs>
        <w:spacing w:after="0" w:line="240" w:lineRule="auto"/>
        <w:jc w:val="both"/>
        <w:rPr>
          <w:rFonts w:ascii="Verdana" w:hAnsi="Verdana" w:cs="Arial"/>
          <w:sz w:val="20"/>
          <w:szCs w:val="20"/>
        </w:rPr>
      </w:pPr>
    </w:p>
    <w:p w14:paraId="0C936B9A" w14:textId="67E10EB7" w:rsidR="00A2626A" w:rsidRPr="00A2626A" w:rsidRDefault="00A2626A" w:rsidP="00A2626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2.4.3.1.</w:t>
      </w:r>
    </w:p>
    <w:p w14:paraId="00802A5C" w14:textId="32B9F2AF" w:rsidR="0021350F" w:rsidRPr="00923E21" w:rsidRDefault="0021350F" w:rsidP="00A2626A">
      <w:pPr>
        <w:tabs>
          <w:tab w:val="left" w:pos="540"/>
        </w:tabs>
        <w:spacing w:after="0" w:line="240" w:lineRule="auto"/>
        <w:jc w:val="both"/>
        <w:rPr>
          <w:rFonts w:ascii="Verdana" w:hAnsi="Verdana" w:cs="Arial"/>
          <w:sz w:val="20"/>
          <w:szCs w:val="20"/>
        </w:rPr>
      </w:pPr>
      <w:r w:rsidRPr="00A2626A">
        <w:rPr>
          <w:rFonts w:ascii="Verdana" w:hAnsi="Verdana" w:cs="Arial"/>
          <w:bCs/>
          <w:sz w:val="20"/>
          <w:szCs w:val="20"/>
        </w:rPr>
        <w:t>La relación de solvencia de las AFP se define como el valor del patrimonio técnico</w:t>
      </w:r>
      <w:r w:rsidRPr="00923E21">
        <w:rPr>
          <w:rFonts w:ascii="Verdana" w:hAnsi="Verdana" w:cs="Arial"/>
          <w:sz w:val="20"/>
          <w:szCs w:val="20"/>
        </w:rPr>
        <w:t xml:space="preserve"> calculado de acuerdo con lo dispuesto </w:t>
      </w:r>
      <w:r w:rsidR="00220268">
        <w:rPr>
          <w:rFonts w:ascii="Verdana" w:hAnsi="Verdana" w:cs="Arial"/>
          <w:sz w:val="20"/>
          <w:szCs w:val="20"/>
        </w:rPr>
        <w:t>entre los párrafos 2.</w:t>
      </w:r>
      <w:r w:rsidR="005E2BAA">
        <w:rPr>
          <w:rFonts w:ascii="Verdana" w:hAnsi="Verdana" w:cs="Arial"/>
          <w:sz w:val="20"/>
          <w:szCs w:val="20"/>
        </w:rPr>
        <w:t>4.3.2. y 2.4.3.17.</w:t>
      </w:r>
      <w:r w:rsidRPr="00923E21">
        <w:rPr>
          <w:rFonts w:ascii="Verdana" w:hAnsi="Verdana" w:cs="Arial"/>
          <w:sz w:val="20"/>
          <w:szCs w:val="20"/>
        </w:rPr>
        <w:t>, dividido por la sumatoria de los activos ponderados por nivel de riesgo crediticio, más 100/9 del valor de la exposición por riesgo de mercado, más 100/9 del valor de la exposición al riesgo operacional. Esta relación se expresa en términos porcentuales. La relación de solvencia mínima de las AFP será del 9%.</w:t>
      </w:r>
    </w:p>
    <w:p w14:paraId="4FE5C531" w14:textId="77777777" w:rsidR="0021350F" w:rsidRPr="00923E21" w:rsidRDefault="0021350F" w:rsidP="0021350F">
      <w:pPr>
        <w:jc w:val="both"/>
        <w:rPr>
          <w:rFonts w:ascii="Verdana" w:hAnsi="Verdana" w:cs="Arial"/>
          <w:sz w:val="20"/>
          <w:szCs w:val="20"/>
        </w:rPr>
      </w:pPr>
    </w:p>
    <w:p w14:paraId="3CCAC45D" w14:textId="77777777" w:rsidR="0021350F" w:rsidRPr="00923E21" w:rsidRDefault="0021350F" w:rsidP="0021350F">
      <w:pPr>
        <w:jc w:val="center"/>
        <w:rPr>
          <w:rFonts w:ascii="Verdana" w:hAnsi="Verdana" w:cs="Arial"/>
          <w:sz w:val="20"/>
          <w:szCs w:val="20"/>
        </w:rPr>
      </w:pPr>
      <m:oMathPara>
        <m:oMath>
          <m:r>
            <w:rPr>
              <w:rFonts w:ascii="Cambria Math" w:hAnsi="Cambria Math" w:cs="Arial"/>
              <w:sz w:val="20"/>
              <w:szCs w:val="20"/>
            </w:rPr>
            <m:t>Relación de solvencia =</m:t>
          </m:r>
          <m:f>
            <m:fPr>
              <m:ctrlPr>
                <w:rPr>
                  <w:rFonts w:ascii="Cambria Math" w:hAnsi="Cambria Math" w:cs="Arial"/>
                  <w:i/>
                  <w:sz w:val="20"/>
                  <w:szCs w:val="20"/>
                </w:rPr>
              </m:ctrlPr>
            </m:fPr>
            <m:num>
              <m:r>
                <w:rPr>
                  <w:rFonts w:ascii="Cambria Math" w:hAnsi="Cambria Math" w:cs="Arial"/>
                  <w:sz w:val="20"/>
                  <w:szCs w:val="20"/>
                </w:rPr>
                <m:t>PT</m:t>
              </m:r>
            </m:num>
            <m:den>
              <m:r>
                <w:rPr>
                  <w:rFonts w:ascii="Cambria Math" w:hAnsi="Cambria Math" w:cs="Arial"/>
                  <w:sz w:val="20"/>
                  <w:szCs w:val="20"/>
                </w:rPr>
                <m:t>APNR+</m:t>
              </m:r>
              <m:f>
                <m:fPr>
                  <m:ctrlPr>
                    <w:rPr>
                      <w:rFonts w:ascii="Cambria Math" w:hAnsi="Cambria Math" w:cs="Arial"/>
                      <w:i/>
                      <w:sz w:val="20"/>
                      <w:szCs w:val="20"/>
                    </w:rPr>
                  </m:ctrlPr>
                </m:fPr>
                <m:num>
                  <m:r>
                    <w:rPr>
                      <w:rFonts w:ascii="Cambria Math" w:hAnsi="Cambria Math" w:cs="Arial"/>
                      <w:sz w:val="20"/>
                      <w:szCs w:val="20"/>
                    </w:rPr>
                    <m:t>100</m:t>
                  </m:r>
                </m:num>
                <m:den>
                  <m:r>
                    <w:rPr>
                      <w:rFonts w:ascii="Cambria Math" w:hAnsi="Cambria Math" w:cs="Arial"/>
                      <w:sz w:val="20"/>
                      <w:szCs w:val="20"/>
                    </w:rPr>
                    <m:t>9</m:t>
                  </m:r>
                </m:den>
              </m:f>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RM</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RO</m:t>
                  </m:r>
                </m:sub>
              </m:sSub>
              <m:r>
                <w:rPr>
                  <w:rFonts w:ascii="Cambria Math" w:hAnsi="Cambria Math" w:cs="Arial"/>
                  <w:sz w:val="20"/>
                  <w:szCs w:val="20"/>
                </w:rPr>
                <m:t>)</m:t>
              </m:r>
            </m:den>
          </m:f>
          <m:r>
            <w:rPr>
              <w:rFonts w:ascii="Cambria Math" w:hAnsi="Cambria Math" w:cs="Arial"/>
              <w:sz w:val="20"/>
              <w:szCs w:val="20"/>
            </w:rPr>
            <m:t>≥9%</m:t>
          </m:r>
        </m:oMath>
      </m:oMathPara>
    </w:p>
    <w:p w14:paraId="0131619C" w14:textId="77777777" w:rsidR="008D7193" w:rsidRDefault="008D7193" w:rsidP="0021350F">
      <w:pPr>
        <w:jc w:val="both"/>
        <w:rPr>
          <w:rFonts w:ascii="Verdana" w:hAnsi="Verdana" w:cs="Arial"/>
          <w:sz w:val="20"/>
          <w:szCs w:val="20"/>
        </w:rPr>
      </w:pPr>
    </w:p>
    <w:p w14:paraId="1921C357" w14:textId="4CAF6E90" w:rsidR="0021350F" w:rsidRPr="00923E21" w:rsidRDefault="0021350F" w:rsidP="0021350F">
      <w:pPr>
        <w:jc w:val="both"/>
        <w:rPr>
          <w:rFonts w:ascii="Verdana" w:hAnsi="Verdana" w:cs="Arial"/>
          <w:sz w:val="20"/>
          <w:szCs w:val="20"/>
        </w:rPr>
      </w:pPr>
      <w:r w:rsidRPr="00923E21">
        <w:rPr>
          <w:rFonts w:ascii="Verdana" w:hAnsi="Verdana" w:cs="Arial"/>
          <w:sz w:val="20"/>
          <w:szCs w:val="20"/>
        </w:rPr>
        <w:t>Donde:</w:t>
      </w:r>
    </w:p>
    <w:p w14:paraId="6DBC7B19" w14:textId="47F7DC30" w:rsidR="0021350F" w:rsidRPr="00923E21" w:rsidRDefault="008D7193" w:rsidP="0021350F">
      <w:pPr>
        <w:jc w:val="both"/>
        <w:rPr>
          <w:rFonts w:ascii="Verdana" w:hAnsi="Verdana" w:cs="Arial"/>
          <w:sz w:val="20"/>
          <w:szCs w:val="20"/>
        </w:rPr>
      </w:pPr>
      <m:oMath>
        <m:r>
          <w:rPr>
            <w:rFonts w:ascii="Cambria Math" w:hAnsi="Cambria Math" w:cs="Arial"/>
            <w:sz w:val="20"/>
            <w:szCs w:val="20"/>
          </w:rPr>
          <m:t>PT</m:t>
        </m:r>
      </m:oMath>
      <w:r>
        <w:rPr>
          <w:rFonts w:ascii="Verdana" w:eastAsiaTheme="minorEastAsia" w:hAnsi="Verdana" w:cs="Arial"/>
          <w:sz w:val="20"/>
          <w:szCs w:val="20"/>
        </w:rPr>
        <w:t>: es el</w:t>
      </w:r>
      <w:r w:rsidRPr="00923E21">
        <w:rPr>
          <w:rFonts w:ascii="Verdana" w:hAnsi="Verdana" w:cs="Arial"/>
          <w:sz w:val="20"/>
          <w:szCs w:val="20"/>
        </w:rPr>
        <w:t xml:space="preserve"> </w:t>
      </w:r>
      <w:r>
        <w:rPr>
          <w:rFonts w:ascii="Verdana" w:hAnsi="Verdana" w:cs="Arial"/>
          <w:sz w:val="20"/>
          <w:szCs w:val="20"/>
        </w:rPr>
        <w:t>v</w:t>
      </w:r>
      <w:r w:rsidR="0021350F" w:rsidRPr="00923E21">
        <w:rPr>
          <w:rFonts w:ascii="Verdana" w:hAnsi="Verdana" w:cs="Arial"/>
          <w:sz w:val="20"/>
          <w:szCs w:val="20"/>
        </w:rPr>
        <w:t xml:space="preserve">alor del patrimonio técnico calculado de acuerdo con las instrucciones impartidas </w:t>
      </w:r>
      <w:r w:rsidR="00C9223D">
        <w:rPr>
          <w:rFonts w:ascii="Verdana" w:hAnsi="Verdana" w:cs="Arial"/>
          <w:sz w:val="20"/>
          <w:szCs w:val="20"/>
        </w:rPr>
        <w:t>entre los párrafos 2.4.3.2. y 2.4.3.17.</w:t>
      </w:r>
    </w:p>
    <w:p w14:paraId="7CF48AA5" w14:textId="271BE3F6" w:rsidR="0021350F" w:rsidRPr="00923E21" w:rsidRDefault="008D7193" w:rsidP="0050A195">
      <w:pPr>
        <w:jc w:val="both"/>
        <w:rPr>
          <w:rFonts w:ascii="Verdana" w:hAnsi="Verdana" w:cs="Arial"/>
          <w:sz w:val="20"/>
          <w:szCs w:val="20"/>
        </w:rPr>
      </w:pPr>
      <m:oMath>
        <m:r>
          <w:rPr>
            <w:rFonts w:ascii="Cambria Math" w:hAnsi="Cambria Math" w:cs="Arial"/>
            <w:sz w:val="20"/>
            <w:szCs w:val="20"/>
          </w:rPr>
          <m:t>APNR</m:t>
        </m:r>
      </m:oMath>
      <w:r>
        <w:rPr>
          <w:rFonts w:ascii="Verdana" w:eastAsiaTheme="minorEastAsia" w:hAnsi="Verdana" w:cs="Arial"/>
          <w:sz w:val="20"/>
          <w:szCs w:val="20"/>
        </w:rPr>
        <w:t>: son los</w:t>
      </w:r>
      <w:r w:rsidR="0021350F" w:rsidRPr="0050A195">
        <w:rPr>
          <w:rFonts w:ascii="Verdana" w:hAnsi="Verdana" w:cs="Arial"/>
          <w:sz w:val="20"/>
          <w:szCs w:val="20"/>
        </w:rPr>
        <w:t xml:space="preserve"> </w:t>
      </w:r>
      <w:r>
        <w:rPr>
          <w:rFonts w:ascii="Verdana" w:hAnsi="Verdana" w:cs="Arial"/>
          <w:sz w:val="20"/>
          <w:szCs w:val="20"/>
        </w:rPr>
        <w:t>a</w:t>
      </w:r>
      <w:r w:rsidR="0021350F" w:rsidRPr="0050A195">
        <w:rPr>
          <w:rFonts w:ascii="Verdana" w:hAnsi="Verdana" w:cs="Arial"/>
          <w:sz w:val="20"/>
          <w:szCs w:val="20"/>
        </w:rPr>
        <w:t xml:space="preserve">ctivos ponderados por nivel de riesgo crediticio calculados de acuerdo con las instrucciones impartidas </w:t>
      </w:r>
      <w:r w:rsidR="004106A9">
        <w:rPr>
          <w:rFonts w:ascii="Verdana" w:hAnsi="Verdana" w:cs="Arial"/>
          <w:sz w:val="20"/>
          <w:szCs w:val="20"/>
        </w:rPr>
        <w:t xml:space="preserve">entre los </w:t>
      </w:r>
      <w:r w:rsidR="00103452">
        <w:rPr>
          <w:rFonts w:ascii="Verdana" w:hAnsi="Verdana" w:cs="Arial"/>
          <w:sz w:val="20"/>
          <w:szCs w:val="20"/>
        </w:rPr>
        <w:t xml:space="preserve">párrafos 2.4.3.18. y 2.4.3.90. </w:t>
      </w:r>
      <w:r w:rsidR="0021350F" w:rsidRPr="0050A195">
        <w:rPr>
          <w:rFonts w:ascii="Verdana" w:hAnsi="Verdana" w:cs="Arial"/>
          <w:sz w:val="20"/>
          <w:szCs w:val="20"/>
        </w:rPr>
        <w:t>y en la proforma F.6</w:t>
      </w:r>
      <w:r w:rsidR="0021350F" w:rsidRPr="0050A195">
        <w:rPr>
          <w:rFonts w:ascii="Verdana" w:hAnsi="Verdana" w:cs="Arial"/>
          <w:color w:val="000000" w:themeColor="text1"/>
          <w:sz w:val="20"/>
          <w:szCs w:val="20"/>
        </w:rPr>
        <w:t xml:space="preserve">000-39 </w:t>
      </w:r>
      <w:r w:rsidR="0021350F" w:rsidRPr="0050A195">
        <w:rPr>
          <w:rFonts w:ascii="Verdana" w:hAnsi="Verdana" w:cs="Arial"/>
          <w:sz w:val="20"/>
          <w:szCs w:val="20"/>
        </w:rPr>
        <w:t>(Formato 421) “Declaración del control de Ley Relación Mínima de Solvencia - Sociedades Administradoras de Fondos de Pensiones y de Cesantías”.</w:t>
      </w:r>
    </w:p>
    <w:p w14:paraId="2E143FE1" w14:textId="527228C4" w:rsidR="0021350F" w:rsidRPr="00923E21" w:rsidRDefault="00000000" w:rsidP="0021350F">
      <w:pPr>
        <w:jc w:val="both"/>
        <w:rPr>
          <w:rFonts w:ascii="Verdana" w:hAnsi="Verdana" w:cs="Arial"/>
          <w:sz w:val="20"/>
          <w:szCs w:val="20"/>
        </w:rPr>
      </w:pPr>
      <m:oMath>
        <m:sSub>
          <m:sSubPr>
            <m:ctrlPr>
              <w:rPr>
                <w:rFonts w:ascii="Cambria Math" w:hAnsi="Cambria Math" w:cs="Arial"/>
                <w:sz w:val="20"/>
                <w:szCs w:val="20"/>
              </w:rPr>
            </m:ctrlPr>
          </m:sSubPr>
          <m:e>
            <m:r>
              <w:rPr>
                <w:rFonts w:ascii="Cambria Math" w:hAnsi="Cambria Math" w:cs="Arial"/>
                <w:sz w:val="20"/>
                <w:szCs w:val="20"/>
              </w:rPr>
              <m:t>V</m:t>
            </m:r>
            <m:r>
              <m:rPr>
                <m:sty m:val="p"/>
              </m:rPr>
              <w:rPr>
                <w:rFonts w:ascii="Cambria Math" w:hAnsi="Cambria Math" w:cs="Arial"/>
                <w:sz w:val="20"/>
                <w:szCs w:val="20"/>
              </w:rPr>
              <m:t>eR</m:t>
            </m:r>
          </m:e>
          <m:sub>
            <m:r>
              <w:rPr>
                <w:rFonts w:ascii="Cambria Math" w:hAnsi="Cambria Math" w:cs="Arial"/>
                <w:sz w:val="20"/>
                <w:szCs w:val="20"/>
              </w:rPr>
              <m:t>RM</m:t>
            </m:r>
          </m:sub>
        </m:sSub>
      </m:oMath>
      <w:r w:rsidR="0021350F" w:rsidRPr="008D7193">
        <w:rPr>
          <w:rFonts w:ascii="Verdana" w:hAnsi="Verdana" w:cs="Arial"/>
          <w:sz w:val="20"/>
          <w:szCs w:val="20"/>
        </w:rPr>
        <w:t>:</w:t>
      </w:r>
      <w:r w:rsidR="0021350F" w:rsidRPr="00923E21">
        <w:rPr>
          <w:rFonts w:ascii="Verdana" w:hAnsi="Verdana" w:cs="Arial"/>
          <w:sz w:val="20"/>
          <w:szCs w:val="20"/>
        </w:rPr>
        <w:t xml:space="preserve"> </w:t>
      </w:r>
      <w:r w:rsidR="008D7193">
        <w:rPr>
          <w:rFonts w:ascii="Verdana" w:hAnsi="Verdana" w:cs="Arial"/>
          <w:sz w:val="20"/>
          <w:szCs w:val="20"/>
        </w:rPr>
        <w:t>corresponde al v</w:t>
      </w:r>
      <w:r w:rsidR="0021350F" w:rsidRPr="00923E21">
        <w:rPr>
          <w:rFonts w:ascii="Verdana" w:hAnsi="Verdana" w:cs="Arial"/>
          <w:sz w:val="20"/>
          <w:szCs w:val="20"/>
        </w:rPr>
        <w:t xml:space="preserve">alor de la exposición por riesgo de mercado calculado de acuerdo con las instrucciones establecidas en </w:t>
      </w:r>
      <w:r w:rsidR="00103452">
        <w:rPr>
          <w:rFonts w:ascii="Verdana" w:hAnsi="Verdana" w:cs="Arial"/>
          <w:sz w:val="20"/>
          <w:szCs w:val="20"/>
        </w:rPr>
        <w:t xml:space="preserve">el capítulo 1 de la parte 1 de la CBRAPIF. </w:t>
      </w:r>
    </w:p>
    <w:p w14:paraId="02BD68D1" w14:textId="6328F569" w:rsidR="0021350F" w:rsidRPr="00923E21" w:rsidRDefault="00000000" w:rsidP="0021350F">
      <w:pPr>
        <w:jc w:val="both"/>
        <w:rPr>
          <w:rFonts w:ascii="Verdana" w:hAnsi="Verdana" w:cs="Arial"/>
          <w:sz w:val="20"/>
          <w:szCs w:val="20"/>
        </w:rPr>
      </w:pPr>
      <m:oMath>
        <m:sSub>
          <m:sSubPr>
            <m:ctrlPr>
              <w:rPr>
                <w:rFonts w:ascii="Cambria Math" w:hAnsi="Cambria Math" w:cs="Arial"/>
                <w:sz w:val="20"/>
                <w:szCs w:val="20"/>
              </w:rPr>
            </m:ctrlPr>
          </m:sSubPr>
          <m:e>
            <m:r>
              <w:rPr>
                <w:rFonts w:ascii="Cambria Math" w:hAnsi="Cambria Math" w:cs="Arial"/>
                <w:sz w:val="20"/>
                <w:szCs w:val="20"/>
              </w:rPr>
              <m:t>V</m:t>
            </m:r>
            <m:r>
              <m:rPr>
                <m:sty m:val="p"/>
              </m:rPr>
              <w:rPr>
                <w:rFonts w:ascii="Cambria Math" w:hAnsi="Cambria Math" w:cs="Arial"/>
                <w:sz w:val="20"/>
                <w:szCs w:val="20"/>
              </w:rPr>
              <m:t>eR</m:t>
            </m:r>
          </m:e>
          <m:sub>
            <m:r>
              <w:rPr>
                <w:rFonts w:ascii="Cambria Math" w:hAnsi="Cambria Math" w:cs="Arial"/>
                <w:sz w:val="20"/>
                <w:szCs w:val="20"/>
              </w:rPr>
              <m:t>RO</m:t>
            </m:r>
          </m:sub>
        </m:sSub>
      </m:oMath>
      <w:r w:rsidR="008D7193" w:rsidRPr="008D7193">
        <w:rPr>
          <w:rFonts w:ascii="Verdana" w:hAnsi="Verdana" w:cs="Arial"/>
          <w:sz w:val="20"/>
          <w:szCs w:val="20"/>
        </w:rPr>
        <w:t>:</w:t>
      </w:r>
      <w:r w:rsidR="0021350F" w:rsidRPr="00923E21">
        <w:rPr>
          <w:rFonts w:ascii="Verdana" w:hAnsi="Verdana" w:cs="Arial"/>
          <w:sz w:val="20"/>
          <w:szCs w:val="20"/>
        </w:rPr>
        <w:t xml:space="preserve"> </w:t>
      </w:r>
      <w:r w:rsidR="008D7193">
        <w:rPr>
          <w:rFonts w:ascii="Verdana" w:hAnsi="Verdana" w:cs="Arial"/>
          <w:sz w:val="20"/>
          <w:szCs w:val="20"/>
        </w:rPr>
        <w:t>corresponde al v</w:t>
      </w:r>
      <w:r w:rsidR="0021350F" w:rsidRPr="00923E21">
        <w:rPr>
          <w:rFonts w:ascii="Verdana" w:hAnsi="Verdana" w:cs="Arial"/>
          <w:sz w:val="20"/>
          <w:szCs w:val="20"/>
        </w:rPr>
        <w:t>alor de la exposición por riesgo operacional calculado de acuerdo con las instrucciones establecidas en</w:t>
      </w:r>
      <w:r w:rsidR="00E301F8">
        <w:rPr>
          <w:rFonts w:ascii="Verdana" w:hAnsi="Verdana" w:cs="Arial"/>
          <w:sz w:val="20"/>
          <w:szCs w:val="20"/>
        </w:rPr>
        <w:t>tre los párrafos 2.4.3.92 y 2.4.</w:t>
      </w:r>
      <w:r w:rsidR="00553DA1">
        <w:rPr>
          <w:rFonts w:ascii="Verdana" w:hAnsi="Verdana" w:cs="Arial"/>
          <w:sz w:val="20"/>
          <w:szCs w:val="20"/>
        </w:rPr>
        <w:t xml:space="preserve">3.98. </w:t>
      </w:r>
    </w:p>
    <w:p w14:paraId="221C3EB9" w14:textId="77777777" w:rsidR="008D7193" w:rsidRDefault="008D7193" w:rsidP="008D7193">
      <w:pPr>
        <w:spacing w:after="0" w:line="240" w:lineRule="auto"/>
        <w:jc w:val="both"/>
        <w:rPr>
          <w:rFonts w:ascii="Verdana" w:hAnsi="Verdana" w:cs="Arial"/>
          <w:b/>
          <w:sz w:val="20"/>
          <w:szCs w:val="20"/>
        </w:rPr>
      </w:pPr>
      <w:r w:rsidRPr="006A4CA1">
        <w:rPr>
          <w:rFonts w:ascii="Verdana" w:hAnsi="Verdana" w:cs="Arial"/>
          <w:b/>
          <w:sz w:val="20"/>
          <w:szCs w:val="20"/>
        </w:rPr>
        <w:t>PATRIMONIO TÉCNICO (PT)</w:t>
      </w:r>
    </w:p>
    <w:p w14:paraId="5F0FDB61" w14:textId="77777777" w:rsidR="008D7193" w:rsidRDefault="008D7193" w:rsidP="008D7193">
      <w:pPr>
        <w:spacing w:after="0" w:line="240" w:lineRule="auto"/>
        <w:jc w:val="both"/>
        <w:rPr>
          <w:rFonts w:ascii="Verdana" w:hAnsi="Verdana" w:cs="Arial"/>
          <w:b/>
          <w:sz w:val="20"/>
          <w:szCs w:val="20"/>
        </w:rPr>
      </w:pPr>
    </w:p>
    <w:p w14:paraId="230ADE69" w14:textId="309F01AB" w:rsidR="00B45F78" w:rsidRPr="008D7193" w:rsidRDefault="00B45F78" w:rsidP="008D7193">
      <w:pPr>
        <w:spacing w:after="0" w:line="240" w:lineRule="auto"/>
        <w:jc w:val="both"/>
        <w:rPr>
          <w:rFonts w:ascii="Verdana" w:hAnsi="Verdana" w:cs="Arial"/>
          <w:b/>
          <w:sz w:val="20"/>
          <w:szCs w:val="20"/>
        </w:rPr>
      </w:pPr>
      <w:r w:rsidRPr="00A2626A">
        <w:rPr>
          <w:rFonts w:ascii="Verdana" w:hAnsi="Verdana" w:cs="Arial"/>
          <w:bCs/>
          <w:sz w:val="20"/>
          <w:szCs w:val="20"/>
        </w:rPr>
        <w:t>2.4.3.</w:t>
      </w:r>
      <w:r>
        <w:rPr>
          <w:rFonts w:ascii="Verdana" w:hAnsi="Verdana" w:cs="Arial"/>
          <w:bCs/>
          <w:sz w:val="20"/>
          <w:szCs w:val="20"/>
        </w:rPr>
        <w:t>2</w:t>
      </w:r>
      <w:r w:rsidRPr="00A2626A">
        <w:rPr>
          <w:rFonts w:ascii="Verdana" w:hAnsi="Verdana" w:cs="Arial"/>
          <w:bCs/>
          <w:sz w:val="20"/>
          <w:szCs w:val="20"/>
        </w:rPr>
        <w:t>.</w:t>
      </w:r>
    </w:p>
    <w:p w14:paraId="3724825B" w14:textId="70107716"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El cálculo de cada uno de los rubros que conforman la relación de solvencia se debe realizar teniendo en cuenta la información mensual y trimestral del Catálogo Único de Información Financiera con </w:t>
      </w:r>
      <w:r w:rsidR="00F255E0">
        <w:rPr>
          <w:rFonts w:ascii="Verdana" w:hAnsi="Verdana" w:cs="Arial"/>
          <w:sz w:val="20"/>
          <w:szCs w:val="20"/>
        </w:rPr>
        <w:t>F</w:t>
      </w:r>
      <w:r w:rsidRPr="00923E21">
        <w:rPr>
          <w:rFonts w:ascii="Verdana" w:hAnsi="Verdana" w:cs="Arial"/>
          <w:sz w:val="20"/>
          <w:szCs w:val="20"/>
        </w:rPr>
        <w:t xml:space="preserve">ines de Supervisión (CUIF) y de la proforma F.6000-39 (Formato 421) “Declaración del Control de Ley Relación Mínima de Solvencia - Sociedades Administradoras de Fondos de Pensiones y de Cesantías”. </w:t>
      </w:r>
    </w:p>
    <w:p w14:paraId="76C44231" w14:textId="55678F52" w:rsidR="00B45F78" w:rsidRPr="00A2626A" w:rsidRDefault="00B45F78" w:rsidP="00B45F78">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w:t>
      </w:r>
      <w:r w:rsidRPr="00A2626A">
        <w:rPr>
          <w:rFonts w:ascii="Verdana" w:hAnsi="Verdana" w:cs="Arial"/>
          <w:bCs/>
          <w:sz w:val="20"/>
          <w:szCs w:val="20"/>
        </w:rPr>
        <w:t>.</w:t>
      </w:r>
    </w:p>
    <w:p w14:paraId="45EAD036" w14:textId="02FEAF3A" w:rsidR="0021350F" w:rsidRPr="00923E21" w:rsidRDefault="0021350F" w:rsidP="0021350F">
      <w:pPr>
        <w:jc w:val="both"/>
        <w:rPr>
          <w:rFonts w:ascii="Verdana" w:hAnsi="Verdana" w:cs="Arial"/>
          <w:sz w:val="20"/>
          <w:szCs w:val="20"/>
        </w:rPr>
      </w:pPr>
      <w:r w:rsidRPr="00923E21">
        <w:rPr>
          <w:rFonts w:ascii="Verdana" w:hAnsi="Verdana" w:cs="Arial"/>
          <w:sz w:val="20"/>
          <w:szCs w:val="20"/>
        </w:rPr>
        <w:t>El PT será el resultante de sumar el patrimonio básico neto de deducciones con el patrimonio adicional y restar la suma de los valores de las reservas de estabilización de los fondos administrados. El valor de la deducción corresponderá al saldo mínimo requerido de las reservas de estabilización para el respectivo periodo. Igualmente, se deben tener en cuenta las deducciones del PT previstas en el artículo 2.6.1.1.10 del Decreto 2555 de 2010.</w:t>
      </w:r>
    </w:p>
    <w:p w14:paraId="00F21090" w14:textId="7174AD24" w:rsidR="00B45F78" w:rsidRPr="00A2626A" w:rsidRDefault="00B45F78" w:rsidP="00B45F78">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4</w:t>
      </w:r>
      <w:r w:rsidRPr="00A2626A">
        <w:rPr>
          <w:rFonts w:ascii="Verdana" w:hAnsi="Verdana" w:cs="Arial"/>
          <w:bCs/>
          <w:sz w:val="20"/>
          <w:szCs w:val="20"/>
        </w:rPr>
        <w:t>.</w:t>
      </w:r>
    </w:p>
    <w:p w14:paraId="51475158" w14:textId="77777777" w:rsidR="00D9755A" w:rsidRDefault="0021350F" w:rsidP="0050A195">
      <w:pPr>
        <w:jc w:val="both"/>
        <w:rPr>
          <w:rFonts w:ascii="Verdana" w:hAnsi="Verdana" w:cs="Arial"/>
          <w:sz w:val="20"/>
          <w:szCs w:val="20"/>
        </w:rPr>
      </w:pPr>
      <w:r w:rsidRPr="0050A195">
        <w:rPr>
          <w:rFonts w:ascii="Verdana" w:hAnsi="Verdana" w:cs="Arial"/>
          <w:sz w:val="20"/>
          <w:szCs w:val="20"/>
        </w:rPr>
        <w:t>Conforme a las instrucciones señaladas en el artículo 2.6.1.1.4 del Decreto 2555 de 2010, cuando se presente un incumplimiento de la relación de solvencia y hasta tanto no se restablezca, la AFP tendrá las siguientes limitaciones:</w:t>
      </w:r>
    </w:p>
    <w:p w14:paraId="40FA273A" w14:textId="6DF07274" w:rsidR="00D9755A" w:rsidRDefault="00D9755A" w:rsidP="00F72C18">
      <w:pPr>
        <w:pStyle w:val="Prrafodelista"/>
        <w:numPr>
          <w:ilvl w:val="0"/>
          <w:numId w:val="20"/>
        </w:numPr>
        <w:ind w:left="567" w:hanging="567"/>
        <w:jc w:val="both"/>
        <w:rPr>
          <w:rFonts w:ascii="Verdana" w:hAnsi="Verdana" w:cs="Arial"/>
          <w:sz w:val="20"/>
          <w:szCs w:val="20"/>
        </w:rPr>
      </w:pPr>
      <w:r>
        <w:rPr>
          <w:rFonts w:ascii="Verdana" w:hAnsi="Verdana" w:cs="Arial"/>
          <w:sz w:val="20"/>
          <w:szCs w:val="20"/>
        </w:rPr>
        <w:t>L</w:t>
      </w:r>
      <w:r w:rsidR="0021350F" w:rsidRPr="00D9755A">
        <w:rPr>
          <w:rFonts w:ascii="Verdana" w:hAnsi="Verdana" w:cs="Arial"/>
          <w:sz w:val="20"/>
          <w:szCs w:val="20"/>
        </w:rPr>
        <w:t>imitación a la distribución de utilidades o excedentes</w:t>
      </w:r>
      <w:r>
        <w:rPr>
          <w:rFonts w:ascii="Verdana" w:hAnsi="Verdana" w:cs="Arial"/>
          <w:sz w:val="20"/>
          <w:szCs w:val="20"/>
        </w:rPr>
        <w:t>.</w:t>
      </w:r>
    </w:p>
    <w:p w14:paraId="3C7470B0" w14:textId="77777777" w:rsidR="00B84971" w:rsidRDefault="00B84971" w:rsidP="00B84971">
      <w:pPr>
        <w:pStyle w:val="Prrafodelista"/>
        <w:ind w:left="567"/>
        <w:jc w:val="both"/>
        <w:rPr>
          <w:rFonts w:ascii="Verdana" w:hAnsi="Verdana" w:cs="Arial"/>
          <w:sz w:val="20"/>
          <w:szCs w:val="20"/>
        </w:rPr>
      </w:pPr>
    </w:p>
    <w:p w14:paraId="6062CC45" w14:textId="71257824" w:rsidR="0021350F" w:rsidRPr="00D9755A" w:rsidRDefault="00D9755A" w:rsidP="00F72C18">
      <w:pPr>
        <w:pStyle w:val="Prrafodelista"/>
        <w:numPr>
          <w:ilvl w:val="0"/>
          <w:numId w:val="20"/>
        </w:numPr>
        <w:ind w:left="567" w:hanging="567"/>
        <w:jc w:val="both"/>
        <w:rPr>
          <w:rFonts w:ascii="Verdana" w:hAnsi="Verdana" w:cs="Arial"/>
          <w:sz w:val="20"/>
          <w:szCs w:val="20"/>
        </w:rPr>
      </w:pPr>
      <w:r>
        <w:rPr>
          <w:rFonts w:ascii="Verdana" w:hAnsi="Verdana" w:cs="Arial"/>
          <w:sz w:val="20"/>
          <w:szCs w:val="20"/>
        </w:rPr>
        <w:t>S</w:t>
      </w:r>
      <w:r w:rsidR="0021350F" w:rsidRPr="00D9755A">
        <w:rPr>
          <w:rFonts w:ascii="Verdana" w:hAnsi="Verdana" w:cs="Arial"/>
          <w:sz w:val="20"/>
          <w:szCs w:val="20"/>
        </w:rPr>
        <w:t>uspensión temporal del pago de dividendos.</w:t>
      </w:r>
    </w:p>
    <w:p w14:paraId="24231FC9" w14:textId="484141E8" w:rsidR="00B45F78" w:rsidRPr="00A2626A" w:rsidRDefault="00B45F78" w:rsidP="00B45F78">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5</w:t>
      </w:r>
      <w:r w:rsidRPr="00A2626A">
        <w:rPr>
          <w:rFonts w:ascii="Verdana" w:hAnsi="Verdana" w:cs="Arial"/>
          <w:bCs/>
          <w:sz w:val="20"/>
          <w:szCs w:val="20"/>
        </w:rPr>
        <w:t>.</w:t>
      </w:r>
    </w:p>
    <w:p w14:paraId="3706C527" w14:textId="77777777" w:rsidR="0021350F" w:rsidRPr="00923E21" w:rsidRDefault="0021350F" w:rsidP="00B84971">
      <w:pPr>
        <w:jc w:val="both"/>
        <w:rPr>
          <w:rFonts w:ascii="Verdana" w:hAnsi="Verdana" w:cs="Arial"/>
          <w:sz w:val="20"/>
          <w:szCs w:val="20"/>
        </w:rPr>
      </w:pPr>
      <w:r w:rsidRPr="0050A195">
        <w:rPr>
          <w:rFonts w:ascii="Verdana" w:hAnsi="Verdana" w:cs="Arial"/>
          <w:sz w:val="20"/>
          <w:szCs w:val="20"/>
        </w:rPr>
        <w:t>Sin perjuicio de lo anterior, cuando una AFP presente defectos en la relación de solvencia, la entidad tiene la obligación de autoliquidar la sanción, así como rendir ante la SFC las explicaciones pertinentes e informar las acciones correctivas a que haya lugar.</w:t>
      </w:r>
    </w:p>
    <w:p w14:paraId="656AB9A2" w14:textId="2CA2DDFF" w:rsidR="0021350F" w:rsidRPr="00923E21" w:rsidRDefault="0021350F" w:rsidP="00D9755A">
      <w:pPr>
        <w:tabs>
          <w:tab w:val="left" w:pos="1276"/>
        </w:tabs>
        <w:jc w:val="both"/>
        <w:rPr>
          <w:rFonts w:ascii="Verdana" w:hAnsi="Verdana" w:cs="Arial"/>
          <w:sz w:val="20"/>
          <w:szCs w:val="20"/>
        </w:rPr>
      </w:pPr>
      <w:r w:rsidRPr="006A4CA1">
        <w:rPr>
          <w:rFonts w:ascii="Verdana" w:hAnsi="Verdana" w:cs="Arial"/>
          <w:b/>
          <w:bCs/>
          <w:sz w:val="20"/>
          <w:szCs w:val="20"/>
        </w:rPr>
        <w:t>Patrimonio básico neto de deducciones (PB)</w:t>
      </w:r>
    </w:p>
    <w:p w14:paraId="0A8A30A2" w14:textId="12A1F286" w:rsidR="00B45F78" w:rsidRPr="00A2626A" w:rsidRDefault="00B45F78" w:rsidP="00B45F78">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6</w:t>
      </w:r>
      <w:r w:rsidRPr="00A2626A">
        <w:rPr>
          <w:rFonts w:ascii="Verdana" w:hAnsi="Verdana" w:cs="Arial"/>
          <w:bCs/>
          <w:sz w:val="20"/>
          <w:szCs w:val="20"/>
        </w:rPr>
        <w:t>.</w:t>
      </w:r>
    </w:p>
    <w:p w14:paraId="6F705A31" w14:textId="1AF0E064" w:rsidR="0021350F" w:rsidRPr="00923E21" w:rsidRDefault="0021350F" w:rsidP="0021350F">
      <w:pPr>
        <w:jc w:val="both"/>
        <w:rPr>
          <w:rFonts w:ascii="Verdana" w:hAnsi="Verdana" w:cs="Arial"/>
          <w:sz w:val="20"/>
          <w:szCs w:val="20"/>
        </w:rPr>
      </w:pPr>
      <w:r w:rsidRPr="00923E21">
        <w:rPr>
          <w:rFonts w:ascii="Verdana" w:hAnsi="Verdana" w:cs="Arial"/>
          <w:sz w:val="20"/>
          <w:szCs w:val="20"/>
        </w:rPr>
        <w:t>Para los instrumentos que hacen parte del cálculo del PB se debe acreditar el cumplimiento de los criterios de pertenencia descritos en el numeral 1 del artículo 2.6.1.1.4 del Decreto 2555 de 2010, a saber:</w:t>
      </w:r>
    </w:p>
    <w:p w14:paraId="4440F3D3" w14:textId="2F1867F6" w:rsidR="0021350F" w:rsidRPr="006A4CA1" w:rsidRDefault="0021350F" w:rsidP="00F72C18">
      <w:pPr>
        <w:pStyle w:val="Prrafodelista"/>
        <w:numPr>
          <w:ilvl w:val="0"/>
          <w:numId w:val="4"/>
        </w:numPr>
        <w:tabs>
          <w:tab w:val="left" w:pos="567"/>
        </w:tabs>
        <w:spacing w:after="0" w:line="240" w:lineRule="auto"/>
        <w:ind w:left="567" w:hanging="567"/>
        <w:jc w:val="both"/>
        <w:rPr>
          <w:rFonts w:ascii="Verdana" w:hAnsi="Verdana" w:cs="Arial"/>
          <w:sz w:val="20"/>
          <w:szCs w:val="20"/>
        </w:rPr>
      </w:pPr>
      <w:r w:rsidRPr="006A4CA1">
        <w:rPr>
          <w:rFonts w:ascii="Verdana" w:hAnsi="Verdana" w:cs="Arial"/>
          <w:sz w:val="20"/>
          <w:szCs w:val="20"/>
        </w:rPr>
        <w:t>Suscritos y efectivamente pagados</w:t>
      </w:r>
      <w:r w:rsidR="00BF2FDE">
        <w:rPr>
          <w:rFonts w:ascii="Verdana" w:hAnsi="Verdana" w:cs="Arial"/>
          <w:sz w:val="20"/>
          <w:szCs w:val="20"/>
        </w:rPr>
        <w:t>.</w:t>
      </w:r>
    </w:p>
    <w:p w14:paraId="5488ACBB" w14:textId="77777777" w:rsidR="00001A2B" w:rsidRPr="00923E21" w:rsidRDefault="00001A2B" w:rsidP="00001A2B">
      <w:pPr>
        <w:pStyle w:val="Prrafodelista"/>
        <w:tabs>
          <w:tab w:val="left" w:pos="426"/>
        </w:tabs>
        <w:spacing w:after="0" w:line="240" w:lineRule="auto"/>
        <w:jc w:val="both"/>
        <w:rPr>
          <w:rFonts w:ascii="Verdana" w:hAnsi="Verdana" w:cs="Arial"/>
          <w:sz w:val="20"/>
          <w:szCs w:val="20"/>
        </w:rPr>
      </w:pPr>
    </w:p>
    <w:p w14:paraId="25C45CF4" w14:textId="352035D0" w:rsidR="00001A2B" w:rsidRPr="006A4CA1" w:rsidRDefault="0021350F" w:rsidP="00F72C18">
      <w:pPr>
        <w:pStyle w:val="Prrafodelista"/>
        <w:numPr>
          <w:ilvl w:val="0"/>
          <w:numId w:val="4"/>
        </w:numPr>
        <w:spacing w:after="0" w:line="240" w:lineRule="auto"/>
        <w:ind w:left="567" w:hanging="567"/>
        <w:jc w:val="both"/>
        <w:rPr>
          <w:rFonts w:ascii="Verdana" w:hAnsi="Verdana" w:cs="Arial"/>
          <w:sz w:val="20"/>
          <w:szCs w:val="20"/>
        </w:rPr>
      </w:pPr>
      <w:r w:rsidRPr="006A4CA1">
        <w:rPr>
          <w:rFonts w:ascii="Verdana" w:hAnsi="Verdana" w:cs="Arial"/>
          <w:sz w:val="20"/>
          <w:szCs w:val="20"/>
        </w:rPr>
        <w:t>Subordinación calificada</w:t>
      </w:r>
      <w:r w:rsidR="00BF2FDE">
        <w:rPr>
          <w:rFonts w:ascii="Verdana" w:hAnsi="Verdana" w:cs="Arial"/>
          <w:sz w:val="20"/>
          <w:szCs w:val="20"/>
        </w:rPr>
        <w:t>.</w:t>
      </w:r>
    </w:p>
    <w:p w14:paraId="792ED61A" w14:textId="77777777" w:rsidR="00001A2B" w:rsidRPr="00001A2B" w:rsidRDefault="00001A2B" w:rsidP="00001A2B">
      <w:pPr>
        <w:pStyle w:val="Prrafodelista"/>
        <w:rPr>
          <w:rFonts w:ascii="Verdana" w:hAnsi="Verdana" w:cs="Arial"/>
          <w:sz w:val="20"/>
          <w:szCs w:val="20"/>
        </w:rPr>
      </w:pPr>
    </w:p>
    <w:p w14:paraId="0ED89A87" w14:textId="77777777" w:rsidR="00BF2FDE" w:rsidRDefault="0021350F" w:rsidP="00F72C18">
      <w:pPr>
        <w:pStyle w:val="Prrafodelista"/>
        <w:numPr>
          <w:ilvl w:val="0"/>
          <w:numId w:val="4"/>
        </w:numPr>
        <w:tabs>
          <w:tab w:val="left" w:pos="4395"/>
        </w:tabs>
        <w:spacing w:after="0" w:line="240" w:lineRule="auto"/>
        <w:ind w:left="567" w:hanging="567"/>
        <w:jc w:val="both"/>
        <w:rPr>
          <w:rFonts w:ascii="Verdana" w:hAnsi="Verdana" w:cs="Arial"/>
          <w:sz w:val="20"/>
          <w:szCs w:val="20"/>
        </w:rPr>
      </w:pPr>
      <w:r w:rsidRPr="00923E21">
        <w:rPr>
          <w:rFonts w:ascii="Verdana" w:hAnsi="Verdana" w:cs="Arial"/>
          <w:sz w:val="20"/>
          <w:szCs w:val="20"/>
        </w:rPr>
        <w:t>Perpetuidad</w:t>
      </w:r>
      <w:r w:rsidR="00BF2FDE">
        <w:rPr>
          <w:rFonts w:ascii="Verdana" w:hAnsi="Verdana" w:cs="Arial"/>
          <w:sz w:val="20"/>
          <w:szCs w:val="20"/>
        </w:rPr>
        <w:t>.</w:t>
      </w:r>
    </w:p>
    <w:p w14:paraId="26ACDF52" w14:textId="77777777" w:rsidR="00BF2FDE" w:rsidRPr="00BF2FDE" w:rsidRDefault="00BF2FDE" w:rsidP="00BF2FDE">
      <w:pPr>
        <w:pStyle w:val="Prrafodelista"/>
        <w:rPr>
          <w:rFonts w:ascii="Verdana" w:hAnsi="Verdana" w:cs="Arial"/>
          <w:sz w:val="20"/>
          <w:szCs w:val="20"/>
        </w:rPr>
      </w:pPr>
    </w:p>
    <w:p w14:paraId="1E353857" w14:textId="77777777" w:rsidR="00BF2FDE" w:rsidRDefault="0021350F" w:rsidP="00F72C18">
      <w:pPr>
        <w:pStyle w:val="Prrafodelista"/>
        <w:numPr>
          <w:ilvl w:val="0"/>
          <w:numId w:val="4"/>
        </w:numPr>
        <w:tabs>
          <w:tab w:val="left" w:pos="4395"/>
        </w:tabs>
        <w:spacing w:after="0" w:line="240" w:lineRule="auto"/>
        <w:ind w:left="567" w:hanging="567"/>
        <w:jc w:val="both"/>
        <w:rPr>
          <w:rFonts w:ascii="Verdana" w:hAnsi="Verdana" w:cs="Arial"/>
          <w:sz w:val="20"/>
          <w:szCs w:val="20"/>
        </w:rPr>
      </w:pPr>
      <w:r w:rsidRPr="00BF2FDE">
        <w:rPr>
          <w:rFonts w:ascii="Verdana" w:hAnsi="Verdana" w:cs="Arial"/>
          <w:sz w:val="20"/>
          <w:szCs w:val="20"/>
        </w:rPr>
        <w:t>Dividendo convencional</w:t>
      </w:r>
      <w:r w:rsidR="00BF2FDE" w:rsidRPr="00BF2FDE">
        <w:rPr>
          <w:rFonts w:ascii="Verdana" w:hAnsi="Verdana" w:cs="Arial"/>
          <w:sz w:val="20"/>
          <w:szCs w:val="20"/>
        </w:rPr>
        <w:t>.</w:t>
      </w:r>
    </w:p>
    <w:p w14:paraId="7ABF19CC" w14:textId="77777777" w:rsidR="00BF2FDE" w:rsidRPr="00BF2FDE" w:rsidRDefault="00BF2FDE" w:rsidP="00BF2FDE">
      <w:pPr>
        <w:pStyle w:val="Prrafodelista"/>
        <w:rPr>
          <w:rFonts w:ascii="Verdana" w:hAnsi="Verdana" w:cs="Arial"/>
          <w:sz w:val="20"/>
          <w:szCs w:val="20"/>
        </w:rPr>
      </w:pPr>
    </w:p>
    <w:p w14:paraId="0CB3E71A" w14:textId="77777777" w:rsidR="00BF2FDE" w:rsidRDefault="0021350F" w:rsidP="00F72C18">
      <w:pPr>
        <w:pStyle w:val="Prrafodelista"/>
        <w:numPr>
          <w:ilvl w:val="0"/>
          <w:numId w:val="4"/>
        </w:numPr>
        <w:tabs>
          <w:tab w:val="left" w:pos="4395"/>
        </w:tabs>
        <w:spacing w:after="0" w:line="240" w:lineRule="auto"/>
        <w:ind w:left="567" w:hanging="567"/>
        <w:jc w:val="both"/>
        <w:rPr>
          <w:rFonts w:ascii="Verdana" w:hAnsi="Verdana" w:cs="Arial"/>
          <w:sz w:val="20"/>
          <w:szCs w:val="20"/>
        </w:rPr>
      </w:pPr>
      <w:r w:rsidRPr="00BF2FDE">
        <w:rPr>
          <w:rFonts w:ascii="Verdana" w:hAnsi="Verdana" w:cs="Arial"/>
          <w:sz w:val="20"/>
          <w:szCs w:val="20"/>
        </w:rPr>
        <w:t>No financiado por la entidad</w:t>
      </w:r>
      <w:r w:rsidR="00BF2FDE" w:rsidRPr="00BF2FDE">
        <w:rPr>
          <w:rFonts w:ascii="Verdana" w:hAnsi="Verdana" w:cs="Arial"/>
          <w:sz w:val="20"/>
          <w:szCs w:val="20"/>
        </w:rPr>
        <w:t>.</w:t>
      </w:r>
    </w:p>
    <w:p w14:paraId="6CB5997F" w14:textId="77777777" w:rsidR="00BF2FDE" w:rsidRPr="00BF2FDE" w:rsidRDefault="00BF2FDE" w:rsidP="00BF2FDE">
      <w:pPr>
        <w:pStyle w:val="Prrafodelista"/>
        <w:rPr>
          <w:rFonts w:ascii="Verdana" w:hAnsi="Verdana" w:cs="Arial"/>
          <w:sz w:val="20"/>
          <w:szCs w:val="20"/>
        </w:rPr>
      </w:pPr>
    </w:p>
    <w:p w14:paraId="2EFF4EDD" w14:textId="105E4CC5" w:rsidR="0021350F" w:rsidRPr="00BF2FDE" w:rsidRDefault="0021350F" w:rsidP="00F72C18">
      <w:pPr>
        <w:pStyle w:val="Prrafodelista"/>
        <w:numPr>
          <w:ilvl w:val="0"/>
          <w:numId w:val="4"/>
        </w:numPr>
        <w:tabs>
          <w:tab w:val="left" w:pos="4395"/>
        </w:tabs>
        <w:spacing w:after="0" w:line="240" w:lineRule="auto"/>
        <w:ind w:left="567" w:hanging="567"/>
        <w:jc w:val="both"/>
        <w:rPr>
          <w:rFonts w:ascii="Verdana" w:hAnsi="Verdana" w:cs="Arial"/>
          <w:sz w:val="20"/>
          <w:szCs w:val="20"/>
        </w:rPr>
      </w:pPr>
      <w:r w:rsidRPr="00BF2FDE">
        <w:rPr>
          <w:rFonts w:ascii="Verdana" w:hAnsi="Verdana" w:cs="Arial"/>
          <w:sz w:val="20"/>
          <w:szCs w:val="20"/>
        </w:rPr>
        <w:t>Absorción de pérdidas.</w:t>
      </w:r>
    </w:p>
    <w:p w14:paraId="49C81E4C" w14:textId="77777777" w:rsidR="00BF2FDE" w:rsidRDefault="00BF2FDE" w:rsidP="00B45F78">
      <w:pPr>
        <w:tabs>
          <w:tab w:val="left" w:pos="540"/>
        </w:tabs>
        <w:spacing w:after="0" w:line="240" w:lineRule="auto"/>
        <w:jc w:val="both"/>
        <w:rPr>
          <w:rFonts w:ascii="Verdana" w:hAnsi="Verdana"/>
          <w:sz w:val="20"/>
          <w:szCs w:val="20"/>
        </w:rPr>
      </w:pPr>
      <w:bookmarkStart w:id="1" w:name="_Hlk117262239"/>
    </w:p>
    <w:p w14:paraId="69E1BEE4" w14:textId="33A7DCA3" w:rsidR="00B45F78" w:rsidRPr="00A2626A" w:rsidRDefault="00B45F78" w:rsidP="00B45F78">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7</w:t>
      </w:r>
      <w:r w:rsidRPr="00A2626A">
        <w:rPr>
          <w:rFonts w:ascii="Verdana" w:hAnsi="Verdana" w:cs="Arial"/>
          <w:bCs/>
          <w:sz w:val="20"/>
          <w:szCs w:val="20"/>
        </w:rPr>
        <w:t>.</w:t>
      </w:r>
    </w:p>
    <w:p w14:paraId="0CC44884" w14:textId="4EFD7A41"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Una vez la entidad haya cumplido con los requisitos del numeral 1 del artículo 2.6.1.1.4 del Decreto 2555 de 2010 antes señalado, así como las instrucciones adicionales previstas en </w:t>
      </w:r>
      <w:r w:rsidR="00DB0BC9">
        <w:rPr>
          <w:rFonts w:ascii="Verdana" w:hAnsi="Verdana" w:cs="Arial"/>
          <w:sz w:val="20"/>
          <w:szCs w:val="20"/>
        </w:rPr>
        <w:t>los párrafos 2.4.3.</w:t>
      </w:r>
      <w:r w:rsidR="00A00A7A">
        <w:rPr>
          <w:rFonts w:ascii="Verdana" w:hAnsi="Verdana" w:cs="Arial"/>
          <w:sz w:val="20"/>
          <w:szCs w:val="20"/>
        </w:rPr>
        <w:t>13.</w:t>
      </w:r>
      <w:r w:rsidR="00DB0BC9">
        <w:rPr>
          <w:rFonts w:ascii="Verdana" w:hAnsi="Verdana" w:cs="Arial"/>
          <w:sz w:val="20"/>
          <w:szCs w:val="20"/>
        </w:rPr>
        <w:t xml:space="preserve"> y 2.4.3.</w:t>
      </w:r>
      <w:r w:rsidR="00A00A7A">
        <w:rPr>
          <w:rFonts w:ascii="Verdana" w:hAnsi="Verdana" w:cs="Arial"/>
          <w:sz w:val="20"/>
          <w:szCs w:val="20"/>
        </w:rPr>
        <w:t>16.</w:t>
      </w:r>
      <w:r w:rsidRPr="00923E21">
        <w:rPr>
          <w:rFonts w:ascii="Verdana" w:hAnsi="Verdana" w:cs="Arial"/>
          <w:sz w:val="20"/>
          <w:szCs w:val="20"/>
        </w:rPr>
        <w:t>, podrá considerar los siguientes rubros y deducciones del PB, siempre que tales recursos hayan sido clasificados por la SFC.</w:t>
      </w:r>
      <w:bookmarkEnd w:id="1"/>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5"/>
        <w:gridCol w:w="7371"/>
      </w:tblGrid>
      <w:tr w:rsidR="0021350F" w:rsidRPr="00923E21" w14:paraId="055F65A8" w14:textId="77777777" w:rsidTr="40E22EEA">
        <w:trPr>
          <w:trHeight w:val="331"/>
          <w:tblHeader/>
          <w:jc w:val="center"/>
        </w:trPr>
        <w:tc>
          <w:tcPr>
            <w:tcW w:w="1135"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611EB02A" w14:textId="77777777" w:rsidR="0021350F" w:rsidRPr="005910B0" w:rsidRDefault="0021350F" w:rsidP="005910B0">
            <w:pPr>
              <w:spacing w:after="0" w:line="240" w:lineRule="auto"/>
              <w:jc w:val="center"/>
              <w:rPr>
                <w:rFonts w:ascii="Verdana" w:eastAsia="Times New Roman" w:hAnsi="Verdana" w:cs="Arial"/>
                <w:b/>
                <w:bCs/>
                <w:color w:val="000000"/>
                <w:kern w:val="0"/>
                <w:sz w:val="16"/>
                <w:szCs w:val="16"/>
                <w:lang w:eastAsia="es-CO"/>
                <w14:ligatures w14:val="none"/>
              </w:rPr>
            </w:pPr>
            <w:r w:rsidRPr="005910B0">
              <w:rPr>
                <w:rFonts w:ascii="Verdana" w:eastAsia="Times New Roman" w:hAnsi="Verdana" w:cs="Arial"/>
                <w:b/>
                <w:bCs/>
                <w:color w:val="000000"/>
                <w:kern w:val="0"/>
                <w:sz w:val="16"/>
                <w:szCs w:val="16"/>
                <w:lang w:eastAsia="es-CO"/>
                <w14:ligatures w14:val="none"/>
              </w:rPr>
              <w:t>Rubro</w:t>
            </w:r>
          </w:p>
        </w:tc>
        <w:tc>
          <w:tcPr>
            <w:tcW w:w="7371"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71592EA5" w14:textId="77777777" w:rsidR="0021350F" w:rsidRPr="005910B0" w:rsidRDefault="0021350F" w:rsidP="005910B0">
            <w:pPr>
              <w:spacing w:after="0" w:line="240" w:lineRule="auto"/>
              <w:jc w:val="center"/>
              <w:rPr>
                <w:rFonts w:ascii="Verdana" w:eastAsia="Times New Roman" w:hAnsi="Verdana" w:cs="Arial"/>
                <w:b/>
                <w:bCs/>
                <w:color w:val="000000"/>
                <w:kern w:val="0"/>
                <w:sz w:val="16"/>
                <w:szCs w:val="16"/>
                <w:lang w:eastAsia="es-CO"/>
                <w14:ligatures w14:val="none"/>
              </w:rPr>
            </w:pPr>
            <w:r w:rsidRPr="005910B0">
              <w:rPr>
                <w:rFonts w:ascii="Verdana" w:eastAsia="Times New Roman" w:hAnsi="Verdana" w:cs="Arial"/>
                <w:b/>
                <w:bCs/>
                <w:color w:val="000000"/>
                <w:kern w:val="0"/>
                <w:sz w:val="16"/>
                <w:szCs w:val="16"/>
                <w:lang w:eastAsia="es-CO"/>
                <w14:ligatures w14:val="none"/>
              </w:rPr>
              <w:t>Denominación</w:t>
            </w:r>
          </w:p>
        </w:tc>
      </w:tr>
      <w:tr w:rsidR="0021350F" w:rsidRPr="00923E21" w14:paraId="4BB0E1D3" w14:textId="77777777" w:rsidTr="40E22EEA">
        <w:trPr>
          <w:trHeight w:val="419"/>
          <w:jc w:val="center"/>
        </w:trPr>
        <w:tc>
          <w:tcPr>
            <w:tcW w:w="1135" w:type="dxa"/>
            <w:tcBorders>
              <w:top w:val="single" w:sz="4" w:space="0" w:color="auto"/>
            </w:tcBorders>
            <w:shd w:val="clear" w:color="auto" w:fill="FFFFFF" w:themeFill="background1"/>
            <w:noWrap/>
            <w:vAlign w:val="center"/>
            <w:hideMark/>
          </w:tcPr>
          <w:p w14:paraId="37CB9F4B"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w:t>
            </w:r>
          </w:p>
        </w:tc>
        <w:tc>
          <w:tcPr>
            <w:tcW w:w="7371" w:type="dxa"/>
            <w:tcBorders>
              <w:top w:val="single" w:sz="4" w:space="0" w:color="auto"/>
            </w:tcBorders>
            <w:shd w:val="clear" w:color="auto" w:fill="FFFFFF" w:themeFill="background1"/>
            <w:vAlign w:val="bottom"/>
            <w:hideMark/>
          </w:tcPr>
          <w:p w14:paraId="19AAE21B"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de las acciones ordinarias, suscritas y pagadas que cumplan con los criterios de pertenencia del numeral 1 del artículo 2.6.1.1.4 del Decreto 2555 de 2010</w:t>
            </w:r>
          </w:p>
        </w:tc>
      </w:tr>
      <w:tr w:rsidR="0021350F" w:rsidRPr="00923E21" w14:paraId="75893923" w14:textId="77777777" w:rsidTr="40E22EEA">
        <w:trPr>
          <w:trHeight w:val="490"/>
          <w:jc w:val="center"/>
        </w:trPr>
        <w:tc>
          <w:tcPr>
            <w:tcW w:w="1135" w:type="dxa"/>
            <w:shd w:val="clear" w:color="auto" w:fill="FFFFFF" w:themeFill="background1"/>
            <w:noWrap/>
            <w:vAlign w:val="center"/>
            <w:hideMark/>
          </w:tcPr>
          <w:p w14:paraId="5BD44872"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2</w:t>
            </w:r>
          </w:p>
        </w:tc>
        <w:tc>
          <w:tcPr>
            <w:tcW w:w="7371" w:type="dxa"/>
            <w:shd w:val="clear" w:color="auto" w:fill="FFFFFF" w:themeFill="background1"/>
            <w:hideMark/>
          </w:tcPr>
          <w:p w14:paraId="79EC33B9"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de las acciones privilegiadas, suscritas y pagadas que cumplan con los criterios de pertenencia del numeral 1 del artículo 2.6.1.1.4 del Decreto 2555 de 2010</w:t>
            </w:r>
          </w:p>
        </w:tc>
      </w:tr>
      <w:tr w:rsidR="0021350F" w:rsidRPr="00923E21" w14:paraId="7B5DD5A2" w14:textId="77777777" w:rsidTr="40E22EEA">
        <w:trPr>
          <w:trHeight w:val="631"/>
          <w:jc w:val="center"/>
        </w:trPr>
        <w:tc>
          <w:tcPr>
            <w:tcW w:w="1135" w:type="dxa"/>
            <w:shd w:val="clear" w:color="auto" w:fill="FFFFFF" w:themeFill="background1"/>
            <w:noWrap/>
            <w:vAlign w:val="center"/>
            <w:hideMark/>
          </w:tcPr>
          <w:p w14:paraId="2C61FA83"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3</w:t>
            </w:r>
          </w:p>
        </w:tc>
        <w:tc>
          <w:tcPr>
            <w:tcW w:w="7371" w:type="dxa"/>
            <w:shd w:val="clear" w:color="auto" w:fill="FFFFFF" w:themeFill="background1"/>
            <w:hideMark/>
          </w:tcPr>
          <w:p w14:paraId="45D444BD"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de las acciones con dividendo preferencial y sin derecho a voto, suscritas y pagadas que cumplan con los criterios de pertenencia del numeral 1 del artículo 2.6.1.1.4 del Decreto 2555 de 2010</w:t>
            </w:r>
          </w:p>
        </w:tc>
      </w:tr>
      <w:tr w:rsidR="0021350F" w:rsidRPr="00923E21" w14:paraId="41B01092" w14:textId="77777777" w:rsidTr="40E22EEA">
        <w:trPr>
          <w:trHeight w:val="70"/>
          <w:jc w:val="center"/>
        </w:trPr>
        <w:tc>
          <w:tcPr>
            <w:tcW w:w="1135" w:type="dxa"/>
            <w:shd w:val="clear" w:color="auto" w:fill="FFFFFF" w:themeFill="background1"/>
            <w:noWrap/>
            <w:hideMark/>
          </w:tcPr>
          <w:p w14:paraId="59D992EC"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4</w:t>
            </w:r>
          </w:p>
        </w:tc>
        <w:tc>
          <w:tcPr>
            <w:tcW w:w="7371" w:type="dxa"/>
            <w:shd w:val="clear" w:color="auto" w:fill="FFFFFF" w:themeFill="background1"/>
            <w:hideMark/>
          </w:tcPr>
          <w:p w14:paraId="0AE6574E"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de los dividendos decretados pagaderos en acciones ordinarias, suscritas y pagadas que cumplan con los criterios de pertenencia del numeral 1 del artículo 2.6.1.1.4 del Decreto 2555 de 2010</w:t>
            </w:r>
          </w:p>
        </w:tc>
      </w:tr>
      <w:tr w:rsidR="0021350F" w:rsidRPr="00923E21" w14:paraId="70C5F5B7" w14:textId="77777777" w:rsidTr="40E22EEA">
        <w:trPr>
          <w:trHeight w:val="362"/>
          <w:jc w:val="center"/>
        </w:trPr>
        <w:tc>
          <w:tcPr>
            <w:tcW w:w="1135" w:type="dxa"/>
            <w:shd w:val="clear" w:color="auto" w:fill="FFFFFF" w:themeFill="background1"/>
            <w:noWrap/>
            <w:hideMark/>
          </w:tcPr>
          <w:p w14:paraId="1A788496"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5</w:t>
            </w:r>
          </w:p>
        </w:tc>
        <w:tc>
          <w:tcPr>
            <w:tcW w:w="7371" w:type="dxa"/>
            <w:shd w:val="clear" w:color="auto" w:fill="FFFFFF" w:themeFill="background1"/>
            <w:hideMark/>
          </w:tcPr>
          <w:p w14:paraId="1C833647"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de los dividendos decretados pagaderos en acciones privilegiadas, suscritas y pagadas que cumplan con los criterios de pertenencia del numeral 1 del artículo 2.6.1.1.4 del Decreto 2555 de 2010</w:t>
            </w:r>
          </w:p>
        </w:tc>
      </w:tr>
      <w:tr w:rsidR="0021350F" w:rsidRPr="00923E21" w14:paraId="2951CF3E" w14:textId="77777777" w:rsidTr="40E22EEA">
        <w:trPr>
          <w:trHeight w:val="390"/>
          <w:jc w:val="center"/>
        </w:trPr>
        <w:tc>
          <w:tcPr>
            <w:tcW w:w="1135" w:type="dxa"/>
            <w:shd w:val="clear" w:color="auto" w:fill="FFFFFF" w:themeFill="background1"/>
            <w:noWrap/>
            <w:hideMark/>
          </w:tcPr>
          <w:p w14:paraId="757068F6"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6</w:t>
            </w:r>
          </w:p>
        </w:tc>
        <w:tc>
          <w:tcPr>
            <w:tcW w:w="7371" w:type="dxa"/>
            <w:shd w:val="clear" w:color="auto" w:fill="FFFFFF" w:themeFill="background1"/>
            <w:hideMark/>
          </w:tcPr>
          <w:p w14:paraId="74778C64"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de los dividendos decretados pagaderos en acciones con dividendo preferencial y sin derecho a voto, suscritas y pagadas que cumplan con los criterios de pertenencia del numeral 1 del artículo 2.6.1.1.4 del Decreto 2555 de 2010</w:t>
            </w:r>
          </w:p>
        </w:tc>
      </w:tr>
      <w:tr w:rsidR="0021350F" w:rsidRPr="00923E21" w14:paraId="43584701" w14:textId="77777777" w:rsidTr="40E22EEA">
        <w:trPr>
          <w:trHeight w:val="240"/>
          <w:jc w:val="center"/>
        </w:trPr>
        <w:tc>
          <w:tcPr>
            <w:tcW w:w="1135" w:type="dxa"/>
            <w:shd w:val="clear" w:color="auto" w:fill="FFFFFF" w:themeFill="background1"/>
            <w:noWrap/>
            <w:vAlign w:val="center"/>
          </w:tcPr>
          <w:p w14:paraId="42883B31" w14:textId="03F71C84"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7</w:t>
            </w:r>
          </w:p>
        </w:tc>
        <w:tc>
          <w:tcPr>
            <w:tcW w:w="7371" w:type="dxa"/>
            <w:shd w:val="clear" w:color="auto" w:fill="FFFFFF" w:themeFill="background1"/>
          </w:tcPr>
          <w:p w14:paraId="7F538D14"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Prima en colocación de acciones, proveniente de acciones que cumplen con los criterios de pertenencia del numeral 1 del artículo 2.5.3.1.3 del Decreto 2555 de 2010</w:t>
            </w:r>
          </w:p>
        </w:tc>
      </w:tr>
      <w:tr w:rsidR="0021350F" w:rsidRPr="00923E21" w14:paraId="2C07472C" w14:textId="77777777" w:rsidTr="40E22EEA">
        <w:trPr>
          <w:trHeight w:val="240"/>
          <w:jc w:val="center"/>
        </w:trPr>
        <w:tc>
          <w:tcPr>
            <w:tcW w:w="1135" w:type="dxa"/>
            <w:shd w:val="clear" w:color="auto" w:fill="FFFFFF" w:themeFill="background1"/>
            <w:noWrap/>
            <w:vAlign w:val="center"/>
          </w:tcPr>
          <w:p w14:paraId="2CA8CC41"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8</w:t>
            </w:r>
          </w:p>
        </w:tc>
        <w:tc>
          <w:tcPr>
            <w:tcW w:w="7371" w:type="dxa"/>
            <w:shd w:val="clear" w:color="auto" w:fill="FFFFFF" w:themeFill="background1"/>
          </w:tcPr>
          <w:p w14:paraId="62B099C0"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Prima en colocación de acciones por cobrar, proveniente de acciones que cumplen con los criterios de pertenencia del numeral 1 del artículo 2.5.3.1.3 del Decreto 2555 de 2010</w:t>
            </w:r>
          </w:p>
        </w:tc>
      </w:tr>
      <w:tr w:rsidR="0021350F" w:rsidRPr="00923E21" w14:paraId="71C9ECD5" w14:textId="77777777" w:rsidTr="40E22EEA">
        <w:trPr>
          <w:trHeight w:val="240"/>
          <w:jc w:val="center"/>
        </w:trPr>
        <w:tc>
          <w:tcPr>
            <w:tcW w:w="1135" w:type="dxa"/>
            <w:shd w:val="clear" w:color="auto" w:fill="FFFFFF" w:themeFill="background1"/>
            <w:noWrap/>
            <w:vAlign w:val="center"/>
          </w:tcPr>
          <w:p w14:paraId="2E423675"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9</w:t>
            </w:r>
          </w:p>
        </w:tc>
        <w:tc>
          <w:tcPr>
            <w:tcW w:w="7371" w:type="dxa"/>
            <w:shd w:val="clear" w:color="auto" w:fill="FFFFFF" w:themeFill="background1"/>
          </w:tcPr>
          <w:p w14:paraId="3D2FE751"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de la prima en colocación de acciones que no haya sido reconocida por la SFC en el PT en virtud de los numerales 1 y 2 del artículo 2.6.1.1.4 del Decreto 2555 de 2010 (resta)</w:t>
            </w:r>
          </w:p>
        </w:tc>
      </w:tr>
      <w:tr w:rsidR="0021350F" w:rsidRPr="00923E21" w14:paraId="35D1E12B" w14:textId="77777777" w:rsidTr="40E22EEA">
        <w:trPr>
          <w:trHeight w:val="240"/>
          <w:jc w:val="center"/>
        </w:trPr>
        <w:tc>
          <w:tcPr>
            <w:tcW w:w="1135" w:type="dxa"/>
            <w:shd w:val="clear" w:color="auto" w:fill="FFFFFF" w:themeFill="background1"/>
            <w:noWrap/>
            <w:vAlign w:val="center"/>
          </w:tcPr>
          <w:p w14:paraId="6A8FA27C"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10</w:t>
            </w:r>
          </w:p>
        </w:tc>
        <w:tc>
          <w:tcPr>
            <w:tcW w:w="7371" w:type="dxa"/>
            <w:shd w:val="clear" w:color="auto" w:fill="FFFFFF" w:themeFill="background1"/>
          </w:tcPr>
          <w:p w14:paraId="235959AC"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de las acciones propias readquiridas (resta)</w:t>
            </w:r>
          </w:p>
        </w:tc>
      </w:tr>
      <w:tr w:rsidR="0021350F" w:rsidRPr="00923E21" w14:paraId="0B2897AE" w14:textId="77777777" w:rsidTr="40E22EEA">
        <w:trPr>
          <w:trHeight w:val="240"/>
          <w:jc w:val="center"/>
        </w:trPr>
        <w:tc>
          <w:tcPr>
            <w:tcW w:w="1135" w:type="dxa"/>
            <w:shd w:val="clear" w:color="auto" w:fill="FFFFFF" w:themeFill="background1"/>
            <w:noWrap/>
            <w:vAlign w:val="center"/>
          </w:tcPr>
          <w:p w14:paraId="4FB8059D"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11</w:t>
            </w:r>
          </w:p>
        </w:tc>
        <w:tc>
          <w:tcPr>
            <w:tcW w:w="7371" w:type="dxa"/>
            <w:shd w:val="clear" w:color="auto" w:fill="FFFFFF" w:themeFill="background1"/>
          </w:tcPr>
          <w:p w14:paraId="61BC2D74" w14:textId="3790BD4D"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del interés minoritario en entidades financieras vigiladas (participaciones no controladoras) reconocido en el PB de la entidad que consolida, siempre que tales recursos cumplan con los criterios de pertinencia del artículo 2.6.1.1.4 del Decreto 2555 de 2010, así como los demás requisitos definidos en</w:t>
            </w:r>
            <w:r w:rsidR="003022E1">
              <w:rPr>
                <w:rFonts w:ascii="Verdana" w:eastAsia="Times New Roman" w:hAnsi="Verdana" w:cs="Arial"/>
                <w:color w:val="000000"/>
                <w:kern w:val="0"/>
                <w:sz w:val="16"/>
                <w:szCs w:val="16"/>
                <w:lang w:eastAsia="es-CO"/>
                <w14:ligatures w14:val="none"/>
              </w:rPr>
              <w:t>tre los párrafos 2.4.3.2. y 2.4.3.17.</w:t>
            </w:r>
          </w:p>
        </w:tc>
      </w:tr>
      <w:tr w:rsidR="0021350F" w:rsidRPr="00923E21" w14:paraId="47F883CD" w14:textId="77777777" w:rsidTr="40E22EEA">
        <w:trPr>
          <w:trHeight w:val="240"/>
          <w:jc w:val="center"/>
        </w:trPr>
        <w:tc>
          <w:tcPr>
            <w:tcW w:w="1135" w:type="dxa"/>
            <w:shd w:val="clear" w:color="auto" w:fill="FFFFFF" w:themeFill="background1"/>
            <w:noWrap/>
            <w:vAlign w:val="center"/>
          </w:tcPr>
          <w:p w14:paraId="2F4FAE33"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12</w:t>
            </w:r>
          </w:p>
        </w:tc>
        <w:tc>
          <w:tcPr>
            <w:tcW w:w="7371" w:type="dxa"/>
            <w:shd w:val="clear" w:color="auto" w:fill="FFFFFF" w:themeFill="background1"/>
          </w:tcPr>
          <w:p w14:paraId="1EDAB904"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Reserva legal – cuenta CUIF 320500</w:t>
            </w:r>
          </w:p>
        </w:tc>
      </w:tr>
      <w:tr w:rsidR="0021350F" w:rsidRPr="00923E21" w14:paraId="75278A51" w14:textId="77777777" w:rsidTr="40E22EEA">
        <w:trPr>
          <w:trHeight w:val="159"/>
          <w:jc w:val="center"/>
        </w:trPr>
        <w:tc>
          <w:tcPr>
            <w:tcW w:w="1135" w:type="dxa"/>
            <w:shd w:val="clear" w:color="auto" w:fill="FFFFFF" w:themeFill="background1"/>
            <w:noWrap/>
            <w:vAlign w:val="bottom"/>
          </w:tcPr>
          <w:p w14:paraId="23E535E7"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13</w:t>
            </w:r>
          </w:p>
        </w:tc>
        <w:tc>
          <w:tcPr>
            <w:tcW w:w="7371" w:type="dxa"/>
            <w:shd w:val="clear" w:color="auto" w:fill="FFFFFF" w:themeFill="background1"/>
            <w:vAlign w:val="bottom"/>
          </w:tcPr>
          <w:p w14:paraId="2B519E02"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Reservas ocasionales – cuenta CUIF 321500</w:t>
            </w:r>
          </w:p>
        </w:tc>
      </w:tr>
      <w:tr w:rsidR="0021350F" w:rsidRPr="00923E21" w14:paraId="4A55DC59" w14:textId="77777777" w:rsidTr="40E22EEA">
        <w:trPr>
          <w:trHeight w:val="222"/>
          <w:jc w:val="center"/>
        </w:trPr>
        <w:tc>
          <w:tcPr>
            <w:tcW w:w="1135" w:type="dxa"/>
            <w:shd w:val="clear" w:color="auto" w:fill="FFFFFF" w:themeFill="background1"/>
            <w:noWrap/>
            <w:vAlign w:val="center"/>
          </w:tcPr>
          <w:p w14:paraId="08F22C3B"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14</w:t>
            </w:r>
          </w:p>
        </w:tc>
        <w:tc>
          <w:tcPr>
            <w:tcW w:w="7371" w:type="dxa"/>
            <w:shd w:val="clear" w:color="auto" w:fill="FFFFFF" w:themeFill="background1"/>
          </w:tcPr>
          <w:p w14:paraId="4D978F00"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Reservas estatutarias – cuenta CUIF 321000</w:t>
            </w:r>
          </w:p>
        </w:tc>
      </w:tr>
      <w:tr w:rsidR="0021350F" w:rsidRPr="00923E21" w14:paraId="65CC0DC5" w14:textId="77777777" w:rsidTr="40E22EEA">
        <w:trPr>
          <w:trHeight w:val="222"/>
          <w:jc w:val="center"/>
        </w:trPr>
        <w:tc>
          <w:tcPr>
            <w:tcW w:w="1135" w:type="dxa"/>
            <w:shd w:val="clear" w:color="auto" w:fill="FFFFFF" w:themeFill="background1"/>
            <w:noWrap/>
            <w:vAlign w:val="center"/>
          </w:tcPr>
          <w:p w14:paraId="5AF32B01"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15</w:t>
            </w:r>
          </w:p>
        </w:tc>
        <w:tc>
          <w:tcPr>
            <w:tcW w:w="7371" w:type="dxa"/>
            <w:shd w:val="clear" w:color="auto" w:fill="FFFFFF" w:themeFill="background1"/>
          </w:tcPr>
          <w:p w14:paraId="3DC5BC0D"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registrado a título de anticipo para incremento del capital pagado. Este valor computará durante los 4 meses siguientes a la fecha de su registro. Transcurrido dicho término, el anticipo dejará de computar desde la fecha en que se realizó – cuenta CUIF 2914</w:t>
            </w:r>
          </w:p>
        </w:tc>
      </w:tr>
      <w:tr w:rsidR="0021350F" w:rsidRPr="00923E21" w14:paraId="795D271F" w14:textId="77777777" w:rsidTr="40E22EEA">
        <w:trPr>
          <w:trHeight w:val="222"/>
          <w:jc w:val="center"/>
        </w:trPr>
        <w:tc>
          <w:tcPr>
            <w:tcW w:w="1135" w:type="dxa"/>
            <w:shd w:val="clear" w:color="auto" w:fill="FFFFFF" w:themeFill="background1"/>
            <w:noWrap/>
            <w:vAlign w:val="bottom"/>
            <w:hideMark/>
          </w:tcPr>
          <w:p w14:paraId="6039309B"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16</w:t>
            </w:r>
          </w:p>
        </w:tc>
        <w:tc>
          <w:tcPr>
            <w:tcW w:w="7371" w:type="dxa"/>
            <w:shd w:val="clear" w:color="auto" w:fill="FFFFFF" w:themeFill="background1"/>
            <w:hideMark/>
          </w:tcPr>
          <w:p w14:paraId="0D0A95AF"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Ganancias o Pérdidas No Realizadas (ORI) – cuenta CUIF 381500</w:t>
            </w:r>
          </w:p>
          <w:p w14:paraId="6A1D1936"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p>
        </w:tc>
      </w:tr>
      <w:tr w:rsidR="0021350F" w:rsidRPr="00923E21" w14:paraId="4E771C08" w14:textId="77777777" w:rsidTr="40E22EEA">
        <w:trPr>
          <w:trHeight w:val="159"/>
          <w:jc w:val="center"/>
        </w:trPr>
        <w:tc>
          <w:tcPr>
            <w:tcW w:w="1135" w:type="dxa"/>
            <w:shd w:val="clear" w:color="auto" w:fill="FFFFFF" w:themeFill="background1"/>
            <w:noWrap/>
            <w:vAlign w:val="center"/>
          </w:tcPr>
          <w:p w14:paraId="05B2CFCB"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17</w:t>
            </w:r>
          </w:p>
        </w:tc>
        <w:tc>
          <w:tcPr>
            <w:tcW w:w="7371" w:type="dxa"/>
            <w:shd w:val="clear" w:color="auto" w:fill="FFFFFF" w:themeFill="background1"/>
          </w:tcPr>
          <w:p w14:paraId="37DA5838"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Revalorización de propiedad, planta y equipo (PPE) reconocidos en la cuenta CUIF 381555 “ajustes en la aplicación por primera vez de las NIIF”, neto del valor de los ajustes realizados hasta la fecha (resta)</w:t>
            </w:r>
          </w:p>
        </w:tc>
      </w:tr>
      <w:tr w:rsidR="0021350F" w:rsidRPr="00923E21" w14:paraId="5E89ABC0" w14:textId="77777777" w:rsidTr="40E22EEA">
        <w:trPr>
          <w:trHeight w:val="159"/>
          <w:jc w:val="center"/>
        </w:trPr>
        <w:tc>
          <w:tcPr>
            <w:tcW w:w="1135" w:type="dxa"/>
            <w:shd w:val="clear" w:color="auto" w:fill="FFFFFF" w:themeFill="background1"/>
            <w:noWrap/>
            <w:vAlign w:val="center"/>
          </w:tcPr>
          <w:p w14:paraId="4A7B47E1"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18</w:t>
            </w:r>
          </w:p>
        </w:tc>
        <w:tc>
          <w:tcPr>
            <w:tcW w:w="7371" w:type="dxa"/>
            <w:shd w:val="clear" w:color="auto" w:fill="FFFFFF" w:themeFill="background1"/>
            <w:vAlign w:val="center"/>
          </w:tcPr>
          <w:p w14:paraId="76816EEF"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Revalorización de activos – cuenta CUIF 381505 (resta)</w:t>
            </w:r>
          </w:p>
        </w:tc>
      </w:tr>
      <w:tr w:rsidR="0021350F" w:rsidRPr="00923E21" w14:paraId="6EE4F6D1" w14:textId="77777777" w:rsidTr="40E22EEA">
        <w:trPr>
          <w:trHeight w:val="282"/>
          <w:jc w:val="center"/>
        </w:trPr>
        <w:tc>
          <w:tcPr>
            <w:tcW w:w="1135" w:type="dxa"/>
            <w:shd w:val="clear" w:color="auto" w:fill="FFFFFF" w:themeFill="background1"/>
            <w:noWrap/>
            <w:vAlign w:val="center"/>
          </w:tcPr>
          <w:p w14:paraId="628ED85D"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19</w:t>
            </w:r>
          </w:p>
        </w:tc>
        <w:tc>
          <w:tcPr>
            <w:tcW w:w="7371" w:type="dxa"/>
            <w:shd w:val="clear" w:color="auto" w:fill="FFFFFF" w:themeFill="background1"/>
          </w:tcPr>
          <w:p w14:paraId="1D0F4C0B"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Ganancias del ejercicio – cuenta CUIF 391500</w:t>
            </w:r>
          </w:p>
        </w:tc>
      </w:tr>
      <w:tr w:rsidR="0021350F" w:rsidRPr="00923E21" w14:paraId="1A85329E" w14:textId="77777777" w:rsidTr="40E22EEA">
        <w:trPr>
          <w:trHeight w:val="212"/>
          <w:jc w:val="center"/>
        </w:trPr>
        <w:tc>
          <w:tcPr>
            <w:tcW w:w="1135" w:type="dxa"/>
            <w:shd w:val="clear" w:color="auto" w:fill="FFFFFF" w:themeFill="background1"/>
            <w:noWrap/>
            <w:vAlign w:val="center"/>
          </w:tcPr>
          <w:p w14:paraId="60DDB24D"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20</w:t>
            </w:r>
          </w:p>
        </w:tc>
        <w:tc>
          <w:tcPr>
            <w:tcW w:w="7371" w:type="dxa"/>
            <w:shd w:val="clear" w:color="auto" w:fill="FFFFFF" w:themeFill="background1"/>
          </w:tcPr>
          <w:p w14:paraId="340E0FE9"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Ganancias acumuladas de ejercicios anteriores – cuenta CUIF 390500</w:t>
            </w:r>
          </w:p>
        </w:tc>
      </w:tr>
      <w:tr w:rsidR="0021350F" w:rsidRPr="00923E21" w14:paraId="22F3D3D9" w14:textId="77777777" w:rsidTr="40E22EEA">
        <w:trPr>
          <w:trHeight w:val="258"/>
          <w:jc w:val="center"/>
        </w:trPr>
        <w:tc>
          <w:tcPr>
            <w:tcW w:w="1135" w:type="dxa"/>
            <w:shd w:val="clear" w:color="auto" w:fill="FFFFFF" w:themeFill="background1"/>
            <w:noWrap/>
            <w:vAlign w:val="center"/>
          </w:tcPr>
          <w:p w14:paraId="02F38A21"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lastRenderedPageBreak/>
              <w:t>21</w:t>
            </w:r>
          </w:p>
        </w:tc>
        <w:tc>
          <w:tcPr>
            <w:tcW w:w="7371" w:type="dxa"/>
            <w:shd w:val="clear" w:color="auto" w:fill="FFFFFF" w:themeFill="background1"/>
            <w:vAlign w:val="center"/>
          </w:tcPr>
          <w:p w14:paraId="5406C657"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Pérdidas acumuladas ejercicios anteriores – cuenta CUIF 391000 (resta)</w:t>
            </w:r>
          </w:p>
        </w:tc>
      </w:tr>
      <w:tr w:rsidR="0021350F" w:rsidRPr="00923E21" w14:paraId="218265C0" w14:textId="77777777" w:rsidTr="40E22EEA">
        <w:trPr>
          <w:trHeight w:val="275"/>
          <w:jc w:val="center"/>
        </w:trPr>
        <w:tc>
          <w:tcPr>
            <w:tcW w:w="1135" w:type="dxa"/>
            <w:shd w:val="clear" w:color="auto" w:fill="FFFFFF" w:themeFill="background1"/>
            <w:noWrap/>
            <w:vAlign w:val="center"/>
          </w:tcPr>
          <w:p w14:paraId="7F12E6F2"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22</w:t>
            </w:r>
          </w:p>
        </w:tc>
        <w:tc>
          <w:tcPr>
            <w:tcW w:w="7371" w:type="dxa"/>
            <w:shd w:val="clear" w:color="auto" w:fill="FFFFFF" w:themeFill="background1"/>
            <w:vAlign w:val="center"/>
          </w:tcPr>
          <w:p w14:paraId="1332DE2F"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Pérdidas del ejercicio – cuenta CUIF 392000 (resta)</w:t>
            </w:r>
          </w:p>
        </w:tc>
      </w:tr>
      <w:tr w:rsidR="0021350F" w:rsidRPr="00923E21" w14:paraId="0D435D9A" w14:textId="77777777" w:rsidTr="40E22EEA">
        <w:trPr>
          <w:trHeight w:val="44"/>
          <w:jc w:val="center"/>
        </w:trPr>
        <w:tc>
          <w:tcPr>
            <w:tcW w:w="1135" w:type="dxa"/>
            <w:shd w:val="clear" w:color="auto" w:fill="FFFFFF" w:themeFill="background1"/>
            <w:noWrap/>
            <w:vAlign w:val="center"/>
          </w:tcPr>
          <w:p w14:paraId="228644D4"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23</w:t>
            </w:r>
          </w:p>
        </w:tc>
        <w:tc>
          <w:tcPr>
            <w:tcW w:w="7371" w:type="dxa"/>
            <w:shd w:val="clear" w:color="auto" w:fill="FFFFFF" w:themeFill="background1"/>
            <w:vAlign w:val="center"/>
          </w:tcPr>
          <w:p w14:paraId="140B36D6"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Pérdida (Resultados acumulados proceso de convergencia a NIIF) – cuenta CUIF 393010 (resta)</w:t>
            </w:r>
          </w:p>
        </w:tc>
      </w:tr>
      <w:tr w:rsidR="0021350F" w:rsidRPr="00923E21" w14:paraId="451B9FAC" w14:textId="77777777" w:rsidTr="40E22EEA">
        <w:trPr>
          <w:trHeight w:val="539"/>
          <w:jc w:val="center"/>
        </w:trPr>
        <w:tc>
          <w:tcPr>
            <w:tcW w:w="1135" w:type="dxa"/>
            <w:shd w:val="clear" w:color="auto" w:fill="FFFFFF" w:themeFill="background1"/>
            <w:noWrap/>
            <w:vAlign w:val="center"/>
          </w:tcPr>
          <w:p w14:paraId="6C6A96B6"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24</w:t>
            </w:r>
          </w:p>
        </w:tc>
        <w:tc>
          <w:tcPr>
            <w:tcW w:w="7371" w:type="dxa"/>
            <w:shd w:val="clear" w:color="auto" w:fill="FFFFFF" w:themeFill="background1"/>
            <w:vAlign w:val="center"/>
          </w:tcPr>
          <w:p w14:paraId="5024C60B" w14:textId="13AD720B"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 xml:space="preserve">La suma del saldo de: (i) las inversiones de capital, (ii) las inversiones en bonos obligatoriamente convertibles en acciones, (iii) las inversiones en bonos subordinados opcionalmente convertibles en acciones y/o (iv) en general </w:t>
            </w:r>
            <w:r w:rsidR="02576CC8" w:rsidRPr="005910B0">
              <w:rPr>
                <w:rFonts w:ascii="Verdana" w:eastAsia="Times New Roman" w:hAnsi="Verdana" w:cs="Arial"/>
                <w:color w:val="000000"/>
                <w:kern w:val="0"/>
                <w:sz w:val="16"/>
                <w:szCs w:val="16"/>
                <w:lang w:eastAsia="es-CO"/>
                <w14:ligatures w14:val="none"/>
              </w:rPr>
              <w:t xml:space="preserve">las inversiones </w:t>
            </w:r>
            <w:r w:rsidRPr="005910B0">
              <w:rPr>
                <w:rFonts w:ascii="Verdana" w:eastAsia="Times New Roman" w:hAnsi="Verdana" w:cs="Arial"/>
                <w:color w:val="000000"/>
                <w:kern w:val="0"/>
                <w:sz w:val="16"/>
                <w:szCs w:val="16"/>
                <w:lang w:eastAsia="es-CO"/>
                <w14:ligatures w14:val="none"/>
              </w:rPr>
              <w:t>en instrumentos de deuda subordinada. Todas las inversiones anteriormente mencionadas, siempre que se hayan efectuado en forma directa o indirecta en entidades sometidas al control y vigilancia de la SFC o en entidades financieras del exterior (resta).</w:t>
            </w:r>
          </w:p>
          <w:p w14:paraId="2DCE6CA3"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p>
          <w:p w14:paraId="632A7E7B" w14:textId="70A97E8D"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Para la determinación del valor de la inversión indirecta se deben atender las instrucciones de</w:t>
            </w:r>
            <w:r w:rsidR="00523D92">
              <w:rPr>
                <w:rFonts w:ascii="Verdana" w:eastAsia="Times New Roman" w:hAnsi="Verdana" w:cs="Arial"/>
                <w:color w:val="000000"/>
                <w:kern w:val="0"/>
                <w:sz w:val="16"/>
                <w:szCs w:val="16"/>
                <w:lang w:eastAsia="es-CO"/>
                <w14:ligatures w14:val="none"/>
              </w:rPr>
              <w:t xml:space="preserve"> los párrafos 2.4.3.8. y 2.4.3.9.</w:t>
            </w:r>
          </w:p>
          <w:p w14:paraId="704329A5"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p>
          <w:p w14:paraId="5BA18D89" w14:textId="2E1FFF94" w:rsidR="0021350F" w:rsidRPr="005910B0" w:rsidRDefault="0021350F" w:rsidP="40E22EEA">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 xml:space="preserve">El monto del valor a deducir corresponde al </w:t>
            </w:r>
            <w:r w:rsidR="3EC132F4" w:rsidRPr="40E22EEA">
              <w:rPr>
                <w:rFonts w:ascii="Verdana" w:eastAsia="Times New Roman" w:hAnsi="Verdana" w:cs="Arial"/>
                <w:color w:val="000000" w:themeColor="text1"/>
                <w:sz w:val="16"/>
                <w:szCs w:val="16"/>
                <w:lang w:eastAsia="es-CO"/>
              </w:rPr>
              <w:t xml:space="preserve">valor </w:t>
            </w:r>
            <w:r w:rsidRPr="005910B0">
              <w:rPr>
                <w:rFonts w:ascii="Verdana" w:eastAsia="Times New Roman" w:hAnsi="Verdana" w:cs="Arial"/>
                <w:color w:val="000000"/>
                <w:kern w:val="0"/>
                <w:sz w:val="16"/>
                <w:szCs w:val="16"/>
                <w:lang w:eastAsia="es-CO"/>
                <w14:ligatures w14:val="none"/>
              </w:rPr>
              <w:t xml:space="preserve">total </w:t>
            </w:r>
            <w:r w:rsidR="45F1F605" w:rsidRPr="40E22EEA">
              <w:rPr>
                <w:rFonts w:ascii="Verdana" w:eastAsia="Times New Roman" w:hAnsi="Verdana" w:cs="Arial"/>
                <w:color w:val="000000" w:themeColor="text1"/>
                <w:sz w:val="16"/>
                <w:szCs w:val="16"/>
                <w:lang w:eastAsia="es-CO"/>
              </w:rPr>
              <w:t>de las inversiones</w:t>
            </w:r>
            <w:r w:rsidR="7EA132EF" w:rsidRPr="40E22EEA">
              <w:rPr>
                <w:rFonts w:ascii="Verdana" w:eastAsia="Times New Roman" w:hAnsi="Verdana" w:cs="Arial"/>
                <w:color w:val="000000" w:themeColor="text1"/>
                <w:sz w:val="16"/>
                <w:szCs w:val="16"/>
                <w:lang w:eastAsia="es-CO"/>
              </w:rPr>
              <w:t>,</w:t>
            </w:r>
            <w:r w:rsidRPr="40E22EEA">
              <w:rPr>
                <w:rFonts w:ascii="Verdana" w:eastAsia="Times New Roman" w:hAnsi="Verdana" w:cs="Arial"/>
                <w:color w:val="000000" w:themeColor="text1"/>
                <w:sz w:val="16"/>
                <w:szCs w:val="16"/>
                <w:lang w:eastAsia="es-CO"/>
              </w:rPr>
              <w:t xml:space="preserve"> cuando éste supere el 10% del PB una vez realizadas las demás deducciones (excepto el valor </w:t>
            </w:r>
            <w:r w:rsidR="29B1E1C1" w:rsidRPr="40E22EEA">
              <w:rPr>
                <w:rFonts w:ascii="Verdana" w:eastAsia="Verdana" w:hAnsi="Verdana" w:cs="Verdana"/>
                <w:color w:val="000000" w:themeColor="text1"/>
                <w:sz w:val="16"/>
                <w:szCs w:val="16"/>
              </w:rPr>
              <w:t xml:space="preserve">por la deducción de las inversiones de capital </w:t>
            </w:r>
            <w:r w:rsidRPr="005910B0">
              <w:rPr>
                <w:rFonts w:ascii="Verdana" w:eastAsia="Times New Roman" w:hAnsi="Verdana" w:cs="Arial"/>
                <w:color w:val="000000"/>
                <w:kern w:val="0"/>
                <w:sz w:val="16"/>
                <w:szCs w:val="16"/>
                <w:lang w:eastAsia="es-CO"/>
                <w14:ligatures w14:val="none"/>
              </w:rPr>
              <w:t>antes señalado) a las que se hace referencia en el numeral 2 del artículo 2.6.1.1.5 del Decreto 2555 de 2010, no se incluye en este cálculo el valor de las inversiones realizadas por AFP en entidades vigiladas que sean consolidadas por otra entidad vigilada que capte o administre activos de terceros.</w:t>
            </w:r>
          </w:p>
          <w:p w14:paraId="5FBF9E81"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p>
          <w:p w14:paraId="55309D9E"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También se exceptúan de esta deducción las inversiones efectuadas en otra institución financiera vigilada por la SFC para adelantar un proceso de adquisición de los que trata el artículo 63 del Estatuto Orgánico del Sistema Financiero (EOSF), durante los plazos establecidos en el inciso 2, numeral 2 o en el parágrafo 2 del mismo artículo</w:t>
            </w:r>
          </w:p>
        </w:tc>
      </w:tr>
      <w:tr w:rsidR="0021350F" w:rsidRPr="00923E21" w14:paraId="5E92DFF2" w14:textId="77777777" w:rsidTr="40E22EEA">
        <w:trPr>
          <w:trHeight w:val="539"/>
          <w:jc w:val="center"/>
        </w:trPr>
        <w:tc>
          <w:tcPr>
            <w:tcW w:w="1135" w:type="dxa"/>
            <w:shd w:val="clear" w:color="auto" w:fill="FFFFFF" w:themeFill="background1"/>
            <w:noWrap/>
            <w:vAlign w:val="center"/>
          </w:tcPr>
          <w:p w14:paraId="4FC96B31"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25</w:t>
            </w:r>
          </w:p>
        </w:tc>
        <w:tc>
          <w:tcPr>
            <w:tcW w:w="7371" w:type="dxa"/>
            <w:shd w:val="clear" w:color="auto" w:fill="FFFFFF" w:themeFill="background1"/>
            <w:vAlign w:val="center"/>
          </w:tcPr>
          <w:p w14:paraId="7D220B3E"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del impuesto de renta diferido neto, siempre que sea positivo; es decir, cuando el valor de la cuenta CUIF 1910 sea mayor al valor de la cuenta CUIF 2558. Se debe reconocer el 100% de la diferencia entre ambas cuentas, en caso contrario no se deduce del PB, y se debe ponderar como APNR.</w:t>
            </w:r>
          </w:p>
          <w:p w14:paraId="1E163E90"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p>
          <w:p w14:paraId="566AE9A9"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Para el efecto no se tendrá en cuenta el valor del impuesto diferido proveniente de los otros conceptos que se deducen del PB (resta)</w:t>
            </w:r>
          </w:p>
        </w:tc>
      </w:tr>
      <w:tr w:rsidR="0021350F" w:rsidRPr="00923E21" w14:paraId="564B8BE1" w14:textId="77777777" w:rsidTr="40E22EEA">
        <w:trPr>
          <w:trHeight w:val="539"/>
          <w:jc w:val="center"/>
        </w:trPr>
        <w:tc>
          <w:tcPr>
            <w:tcW w:w="1135" w:type="dxa"/>
            <w:shd w:val="clear" w:color="auto" w:fill="FFFFFF" w:themeFill="background1"/>
            <w:noWrap/>
            <w:vAlign w:val="center"/>
          </w:tcPr>
          <w:p w14:paraId="43A621CD"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26</w:t>
            </w:r>
          </w:p>
        </w:tc>
        <w:tc>
          <w:tcPr>
            <w:tcW w:w="7371" w:type="dxa"/>
            <w:shd w:val="clear" w:color="auto" w:fill="FFFFFF" w:themeFill="background1"/>
            <w:vAlign w:val="center"/>
          </w:tcPr>
          <w:p w14:paraId="576B9BF9"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Activos intangibles diferentes de la plusvalía, es decir el valor de la cuenta CUIF 191100 menos el valor de la cuenta CUIF 191105 (resta)</w:t>
            </w:r>
          </w:p>
        </w:tc>
      </w:tr>
      <w:tr w:rsidR="0021350F" w:rsidRPr="00923E21" w14:paraId="0F07E12A" w14:textId="77777777" w:rsidTr="40E22EEA">
        <w:trPr>
          <w:trHeight w:val="1647"/>
          <w:jc w:val="center"/>
        </w:trPr>
        <w:tc>
          <w:tcPr>
            <w:tcW w:w="1135" w:type="dxa"/>
            <w:shd w:val="clear" w:color="auto" w:fill="FFFFFF" w:themeFill="background1"/>
            <w:noWrap/>
            <w:vAlign w:val="center"/>
          </w:tcPr>
          <w:p w14:paraId="2B420A36"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27</w:t>
            </w:r>
          </w:p>
        </w:tc>
        <w:tc>
          <w:tcPr>
            <w:tcW w:w="7371" w:type="dxa"/>
            <w:shd w:val="clear" w:color="auto" w:fill="FFFFFF" w:themeFill="background1"/>
            <w:vAlign w:val="center"/>
          </w:tcPr>
          <w:p w14:paraId="1F8E7A6F"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Para el cálculo de la relación de solvencia consolidada se debe considerar el valor de la plusvalía que hace parte de la cuenta consolidada CUIF 191105.</w:t>
            </w:r>
          </w:p>
          <w:p w14:paraId="37FBAC5F"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p>
          <w:p w14:paraId="4D108D41"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Para la relación de solvencia individual se debe considerar el valor de la plusvalía reportado en la cuenta CUIF 191105 a nivel individual más el valor de la plusvalía que hace parte del saldo de las inversiones cuando se haya aplicado el método de participación (valor que se debe controlar internamente) (resta)</w:t>
            </w:r>
          </w:p>
        </w:tc>
      </w:tr>
      <w:tr w:rsidR="0021350F" w:rsidRPr="00923E21" w14:paraId="5B44CB15" w14:textId="77777777" w:rsidTr="40E22EEA">
        <w:trPr>
          <w:trHeight w:val="129"/>
          <w:jc w:val="center"/>
        </w:trPr>
        <w:tc>
          <w:tcPr>
            <w:tcW w:w="1135" w:type="dxa"/>
            <w:shd w:val="clear" w:color="auto" w:fill="FFFFFF" w:themeFill="background1"/>
            <w:noWrap/>
            <w:vAlign w:val="center"/>
          </w:tcPr>
          <w:p w14:paraId="3C55C6F9"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28</w:t>
            </w:r>
          </w:p>
        </w:tc>
        <w:tc>
          <w:tcPr>
            <w:tcW w:w="7371" w:type="dxa"/>
            <w:shd w:val="clear" w:color="auto" w:fill="FFFFFF" w:themeFill="background1"/>
            <w:vAlign w:val="center"/>
          </w:tcPr>
          <w:p w14:paraId="41BF1992" w14:textId="77777777"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Valor no amortizado del cálculo actuarial del pasivo pensional (resta)</w:t>
            </w:r>
          </w:p>
        </w:tc>
      </w:tr>
      <w:tr w:rsidR="0021350F" w:rsidRPr="00923E21" w14:paraId="704C0617" w14:textId="77777777" w:rsidTr="40E22EEA">
        <w:trPr>
          <w:trHeight w:val="129"/>
          <w:jc w:val="center"/>
        </w:trPr>
        <w:tc>
          <w:tcPr>
            <w:tcW w:w="1135" w:type="dxa"/>
            <w:shd w:val="clear" w:color="auto" w:fill="FFFFFF" w:themeFill="background1"/>
            <w:noWrap/>
            <w:vAlign w:val="center"/>
          </w:tcPr>
          <w:p w14:paraId="792FC4AF" w14:textId="77777777" w:rsidR="0021350F" w:rsidRPr="005910B0" w:rsidRDefault="0021350F" w:rsidP="003E6E62">
            <w:pPr>
              <w:spacing w:after="0" w:line="240" w:lineRule="auto"/>
              <w:jc w:val="center"/>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29</w:t>
            </w:r>
          </w:p>
        </w:tc>
        <w:tc>
          <w:tcPr>
            <w:tcW w:w="7371" w:type="dxa"/>
            <w:shd w:val="clear" w:color="auto" w:fill="FFFFFF" w:themeFill="background1"/>
            <w:vAlign w:val="center"/>
          </w:tcPr>
          <w:p w14:paraId="38996888" w14:textId="62EBF0EA" w:rsidR="0021350F" w:rsidRPr="005910B0" w:rsidRDefault="0021350F" w:rsidP="005910B0">
            <w:pPr>
              <w:spacing w:after="0" w:line="240" w:lineRule="auto"/>
              <w:jc w:val="both"/>
              <w:rPr>
                <w:rFonts w:ascii="Verdana" w:eastAsia="Times New Roman" w:hAnsi="Verdana" w:cs="Arial"/>
                <w:color w:val="000000"/>
                <w:kern w:val="0"/>
                <w:sz w:val="16"/>
                <w:szCs w:val="16"/>
                <w:lang w:eastAsia="es-CO"/>
                <w14:ligatures w14:val="none"/>
              </w:rPr>
            </w:pPr>
            <w:r w:rsidRPr="005910B0">
              <w:rPr>
                <w:rFonts w:ascii="Verdana" w:eastAsia="Times New Roman" w:hAnsi="Verdana" w:cs="Arial"/>
                <w:color w:val="000000"/>
                <w:kern w:val="0"/>
                <w:sz w:val="16"/>
                <w:szCs w:val="16"/>
                <w:lang w:eastAsia="es-CO"/>
                <w14:ligatures w14:val="none"/>
              </w:rPr>
              <w:t xml:space="preserve">Valor de los activos invertidos por la AFP y destinados a cubrir riesgos específicos mediante patrimonios autónomos. El valor de la deducción se determinará de acuerdo con las instrucciones </w:t>
            </w:r>
            <w:r w:rsidR="00C64DBE">
              <w:rPr>
                <w:rFonts w:ascii="Verdana" w:eastAsia="Times New Roman" w:hAnsi="Verdana" w:cs="Arial"/>
                <w:color w:val="000000"/>
                <w:kern w:val="0"/>
                <w:sz w:val="16"/>
                <w:szCs w:val="16"/>
                <w:lang w:eastAsia="es-CO"/>
                <w14:ligatures w14:val="none"/>
              </w:rPr>
              <w:t>del párrafo 2.4.3.17.</w:t>
            </w:r>
            <w:r w:rsidRPr="005910B0">
              <w:rPr>
                <w:rFonts w:ascii="Verdana" w:eastAsia="Times New Roman" w:hAnsi="Verdana" w:cs="Arial"/>
                <w:color w:val="000000"/>
                <w:kern w:val="0"/>
                <w:sz w:val="16"/>
                <w:szCs w:val="16"/>
                <w:lang w:eastAsia="es-CO"/>
                <w14:ligatures w14:val="none"/>
              </w:rPr>
              <w:t xml:space="preserve"> (resta)</w:t>
            </w:r>
          </w:p>
        </w:tc>
      </w:tr>
    </w:tbl>
    <w:p w14:paraId="3B696CA4" w14:textId="77777777" w:rsidR="00EE6317" w:rsidRDefault="00EE6317" w:rsidP="00411EE6">
      <w:pPr>
        <w:spacing w:after="0" w:line="240" w:lineRule="auto"/>
        <w:jc w:val="both"/>
        <w:rPr>
          <w:rFonts w:ascii="Verdana" w:hAnsi="Verdana" w:cs="Arial"/>
          <w:b/>
          <w:bCs/>
          <w:sz w:val="20"/>
          <w:szCs w:val="20"/>
        </w:rPr>
      </w:pPr>
    </w:p>
    <w:p w14:paraId="255D5430" w14:textId="49CF93E4" w:rsidR="0021350F" w:rsidRPr="00EE6317" w:rsidRDefault="0021350F" w:rsidP="00F72C18">
      <w:pPr>
        <w:pStyle w:val="Prrafodelista"/>
        <w:numPr>
          <w:ilvl w:val="0"/>
          <w:numId w:val="21"/>
        </w:numPr>
        <w:spacing w:after="0" w:line="240" w:lineRule="auto"/>
        <w:ind w:left="284" w:hanging="284"/>
        <w:jc w:val="both"/>
        <w:rPr>
          <w:rFonts w:ascii="Verdana" w:hAnsi="Verdana" w:cs="Arial"/>
          <w:b/>
          <w:bCs/>
          <w:sz w:val="20"/>
          <w:szCs w:val="20"/>
        </w:rPr>
      </w:pPr>
      <w:r w:rsidRPr="00EE6317">
        <w:rPr>
          <w:rFonts w:ascii="Verdana" w:hAnsi="Verdana" w:cs="Arial"/>
          <w:b/>
          <w:bCs/>
          <w:sz w:val="20"/>
          <w:szCs w:val="20"/>
        </w:rPr>
        <w:t xml:space="preserve">Inversión indirecta </w:t>
      </w:r>
    </w:p>
    <w:p w14:paraId="59631954" w14:textId="77777777" w:rsidR="00EE6317" w:rsidRDefault="00EE6317" w:rsidP="007013ED">
      <w:pPr>
        <w:tabs>
          <w:tab w:val="left" w:pos="540"/>
        </w:tabs>
        <w:spacing w:after="0" w:line="240" w:lineRule="auto"/>
        <w:jc w:val="both"/>
        <w:rPr>
          <w:rFonts w:ascii="Verdana" w:hAnsi="Verdana" w:cs="Arial"/>
          <w:sz w:val="20"/>
          <w:szCs w:val="20"/>
        </w:rPr>
      </w:pPr>
    </w:p>
    <w:p w14:paraId="2A11391E" w14:textId="0FDAD67C" w:rsidR="007013ED" w:rsidRPr="00A2626A" w:rsidRDefault="007013ED" w:rsidP="007013ED">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8</w:t>
      </w:r>
      <w:r w:rsidRPr="00A2626A">
        <w:rPr>
          <w:rFonts w:ascii="Verdana" w:hAnsi="Verdana" w:cs="Arial"/>
          <w:bCs/>
          <w:sz w:val="20"/>
          <w:szCs w:val="20"/>
        </w:rPr>
        <w:t>.</w:t>
      </w:r>
    </w:p>
    <w:p w14:paraId="4EF14627"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Para efectos del presente Capítulo se entiende por inversión indirecta aquella inversión realizada por una entidad vigilada por la SFC (en adelante entidad principal) en una tercera entidad vigilada por la SFC o entidad financiera del exterior por medio de otra entidad o vehículo (en adelante intermediario). Para determinar el valor de la inversión indirecta se toma el porcentaje de participación por el valor de mercado de la inversión o su equivalente.</w:t>
      </w:r>
    </w:p>
    <w:p w14:paraId="502EA9CB" w14:textId="6BC0A240" w:rsidR="007013ED" w:rsidRPr="00A2626A" w:rsidRDefault="007013ED" w:rsidP="007013ED">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9</w:t>
      </w:r>
      <w:r w:rsidRPr="00A2626A">
        <w:rPr>
          <w:rFonts w:ascii="Verdana" w:hAnsi="Verdana" w:cs="Arial"/>
          <w:bCs/>
          <w:sz w:val="20"/>
          <w:szCs w:val="20"/>
        </w:rPr>
        <w:t>.</w:t>
      </w:r>
    </w:p>
    <w:p w14:paraId="60008DA6" w14:textId="095C1B0B" w:rsidR="0021350F" w:rsidRPr="00923E21" w:rsidRDefault="0021350F" w:rsidP="0021350F">
      <w:pPr>
        <w:jc w:val="both"/>
        <w:rPr>
          <w:rFonts w:ascii="Verdana" w:hAnsi="Verdana" w:cs="Arial"/>
          <w:sz w:val="20"/>
          <w:szCs w:val="20"/>
        </w:rPr>
      </w:pPr>
      <w:r w:rsidRPr="00923E21">
        <w:rPr>
          <w:rFonts w:ascii="Verdana" w:hAnsi="Verdana" w:cs="Arial"/>
          <w:sz w:val="20"/>
          <w:szCs w:val="20"/>
        </w:rPr>
        <w:t>A continuación, se señala de manera ilustrativa, algunos ejemplos para determinar el porcentaje de participación:</w:t>
      </w:r>
    </w:p>
    <w:p w14:paraId="1047135E" w14:textId="0995C427" w:rsidR="0021350F" w:rsidRDefault="0021350F" w:rsidP="00F72C18">
      <w:pPr>
        <w:pStyle w:val="Prrafodelista"/>
        <w:numPr>
          <w:ilvl w:val="0"/>
          <w:numId w:val="3"/>
        </w:numPr>
        <w:tabs>
          <w:tab w:val="left" w:pos="567"/>
        </w:tabs>
        <w:spacing w:after="0" w:line="240" w:lineRule="auto"/>
        <w:ind w:left="567" w:hanging="567"/>
        <w:jc w:val="both"/>
        <w:rPr>
          <w:rFonts w:ascii="Verdana" w:hAnsi="Verdana" w:cs="Arial"/>
          <w:sz w:val="20"/>
          <w:szCs w:val="20"/>
        </w:rPr>
      </w:pPr>
      <w:r w:rsidRPr="00A158AB">
        <w:rPr>
          <w:rFonts w:ascii="Verdana" w:hAnsi="Verdana" w:cs="Arial"/>
          <w:sz w:val="20"/>
          <w:szCs w:val="20"/>
        </w:rPr>
        <w:t>Cuando el intermediario sea subordinado, controlado o esté bajo administración de la entidad principal, la participación de ésta última en la tercera entidad corresponde a la participación del intermediario en dicha entidad.</w:t>
      </w:r>
    </w:p>
    <w:p w14:paraId="499D9616" w14:textId="77777777" w:rsidR="00A158AB" w:rsidRPr="00A158AB" w:rsidRDefault="00A158AB" w:rsidP="00A158AB">
      <w:pPr>
        <w:pStyle w:val="Prrafodelista"/>
        <w:tabs>
          <w:tab w:val="left" w:pos="567"/>
        </w:tabs>
        <w:spacing w:after="0" w:line="240" w:lineRule="auto"/>
        <w:ind w:left="567"/>
        <w:jc w:val="both"/>
        <w:rPr>
          <w:rFonts w:ascii="Verdana" w:hAnsi="Verdana" w:cs="Arial"/>
          <w:sz w:val="20"/>
          <w:szCs w:val="20"/>
        </w:rPr>
      </w:pPr>
    </w:p>
    <w:p w14:paraId="11BEAC82" w14:textId="4B111738" w:rsidR="0021350F" w:rsidRDefault="0021350F" w:rsidP="00F72C18">
      <w:pPr>
        <w:pStyle w:val="Prrafodelista"/>
        <w:numPr>
          <w:ilvl w:val="0"/>
          <w:numId w:val="3"/>
        </w:numPr>
        <w:tabs>
          <w:tab w:val="left" w:pos="567"/>
        </w:tabs>
        <w:spacing w:after="0" w:line="240" w:lineRule="auto"/>
        <w:ind w:left="567" w:hanging="567"/>
        <w:jc w:val="both"/>
        <w:rPr>
          <w:rFonts w:ascii="Verdana" w:hAnsi="Verdana" w:cs="Arial"/>
          <w:sz w:val="20"/>
          <w:szCs w:val="20"/>
        </w:rPr>
      </w:pPr>
      <w:r w:rsidRPr="00A158AB">
        <w:rPr>
          <w:rFonts w:ascii="Verdana" w:hAnsi="Verdana" w:cs="Arial"/>
          <w:sz w:val="20"/>
          <w:szCs w:val="20"/>
        </w:rPr>
        <w:t>Cuando el intermediario</w:t>
      </w:r>
      <w:r w:rsidR="00A158AB">
        <w:rPr>
          <w:rFonts w:ascii="Verdana" w:hAnsi="Verdana" w:cs="Arial"/>
          <w:sz w:val="20"/>
          <w:szCs w:val="20"/>
        </w:rPr>
        <w:t xml:space="preserve"> </w:t>
      </w:r>
      <w:r w:rsidRPr="00A158AB">
        <w:rPr>
          <w:rFonts w:ascii="Verdana" w:hAnsi="Verdana" w:cs="Arial"/>
          <w:sz w:val="20"/>
          <w:szCs w:val="20"/>
        </w:rPr>
        <w:t>no sea subordinado, controlado o no está bajo administración de la entidad principal, la participación de ésta última en la tercera entidad corresponde al producto de las participaciones, es decir, la que tiene la entidad principal en el intermediario multiplicado por la participación de ésta en la tercera entidad.</w:t>
      </w:r>
    </w:p>
    <w:p w14:paraId="1D02C754" w14:textId="77777777" w:rsidR="00A158AB" w:rsidRPr="00A158AB" w:rsidRDefault="00A158AB" w:rsidP="00A158AB">
      <w:pPr>
        <w:pStyle w:val="Prrafodelista"/>
        <w:rPr>
          <w:rFonts w:ascii="Verdana" w:hAnsi="Verdana" w:cs="Arial"/>
          <w:sz w:val="20"/>
          <w:szCs w:val="20"/>
        </w:rPr>
      </w:pPr>
    </w:p>
    <w:p w14:paraId="1DE114D1" w14:textId="2C7AA715" w:rsidR="00444714" w:rsidRDefault="0021350F" w:rsidP="00444714">
      <w:pPr>
        <w:pStyle w:val="Prrafodelista"/>
        <w:numPr>
          <w:ilvl w:val="0"/>
          <w:numId w:val="3"/>
        </w:numPr>
        <w:spacing w:after="0" w:line="240" w:lineRule="auto"/>
        <w:ind w:left="567" w:hanging="567"/>
        <w:jc w:val="both"/>
        <w:rPr>
          <w:rFonts w:ascii="Verdana" w:hAnsi="Verdana" w:cs="Arial"/>
          <w:sz w:val="20"/>
          <w:szCs w:val="20"/>
        </w:rPr>
      </w:pPr>
      <w:r w:rsidRPr="00923E21">
        <w:rPr>
          <w:rFonts w:ascii="Verdana" w:hAnsi="Verdana" w:cs="Arial"/>
          <w:sz w:val="20"/>
          <w:szCs w:val="20"/>
        </w:rPr>
        <w:t xml:space="preserve">Cuando la inversión sea realizada mediante la participación de varios intermediarios que son subordinados, controlados o están bajo administración de la entidad principal y aquellos que no son subordinados o controlados, la </w:t>
      </w:r>
      <w:r w:rsidRPr="00923E21">
        <w:rPr>
          <w:rFonts w:ascii="Verdana" w:hAnsi="Verdana" w:cs="Arial"/>
          <w:sz w:val="20"/>
          <w:szCs w:val="20"/>
        </w:rPr>
        <w:lastRenderedPageBreak/>
        <w:t xml:space="preserve">participación se obtiene de aplicar de forma conjunta los criterios de los literales </w:t>
      </w:r>
      <w:r w:rsidR="00CB72DB">
        <w:rPr>
          <w:rFonts w:ascii="Verdana" w:hAnsi="Verdana" w:cs="Arial"/>
          <w:sz w:val="20"/>
          <w:szCs w:val="20"/>
        </w:rPr>
        <w:t>(</w:t>
      </w:r>
      <w:r w:rsidRPr="00923E21">
        <w:rPr>
          <w:rFonts w:ascii="Verdana" w:hAnsi="Verdana" w:cs="Arial"/>
          <w:sz w:val="20"/>
          <w:szCs w:val="20"/>
        </w:rPr>
        <w:t>a</w:t>
      </w:r>
      <w:r w:rsidR="00CB72DB">
        <w:rPr>
          <w:rFonts w:ascii="Verdana" w:hAnsi="Verdana" w:cs="Arial"/>
          <w:sz w:val="20"/>
          <w:szCs w:val="20"/>
        </w:rPr>
        <w:t>)</w:t>
      </w:r>
      <w:r w:rsidRPr="00923E21">
        <w:rPr>
          <w:rFonts w:ascii="Verdana" w:hAnsi="Verdana" w:cs="Arial"/>
          <w:sz w:val="20"/>
          <w:szCs w:val="20"/>
        </w:rPr>
        <w:t xml:space="preserve"> y</w:t>
      </w:r>
      <w:r w:rsidR="00CB72DB">
        <w:rPr>
          <w:rFonts w:ascii="Verdana" w:hAnsi="Verdana" w:cs="Arial"/>
          <w:sz w:val="20"/>
          <w:szCs w:val="20"/>
        </w:rPr>
        <w:t xml:space="preserve"> (b) anteriores.</w:t>
      </w:r>
    </w:p>
    <w:p w14:paraId="40914C88" w14:textId="77777777" w:rsidR="00444714" w:rsidRDefault="00444714" w:rsidP="00444714">
      <w:pPr>
        <w:spacing w:after="0" w:line="240" w:lineRule="auto"/>
        <w:jc w:val="both"/>
        <w:rPr>
          <w:rFonts w:ascii="Verdana" w:hAnsi="Verdana" w:cs="Arial"/>
          <w:b/>
          <w:bCs/>
          <w:sz w:val="20"/>
          <w:szCs w:val="20"/>
        </w:rPr>
      </w:pPr>
    </w:p>
    <w:p w14:paraId="075E7394" w14:textId="071B6228" w:rsidR="0021350F" w:rsidRPr="00444714" w:rsidRDefault="0021350F" w:rsidP="00444714">
      <w:pPr>
        <w:spacing w:after="0" w:line="240" w:lineRule="auto"/>
        <w:jc w:val="both"/>
        <w:rPr>
          <w:rFonts w:ascii="Verdana" w:hAnsi="Verdana" w:cs="Arial"/>
          <w:sz w:val="20"/>
          <w:szCs w:val="20"/>
        </w:rPr>
      </w:pPr>
      <w:r w:rsidRPr="00444714">
        <w:rPr>
          <w:rFonts w:ascii="Verdana" w:hAnsi="Verdana" w:cs="Arial"/>
          <w:b/>
          <w:bCs/>
          <w:sz w:val="20"/>
          <w:szCs w:val="20"/>
        </w:rPr>
        <w:t>Patrimonio adicional (PA)</w:t>
      </w:r>
    </w:p>
    <w:p w14:paraId="107199AF" w14:textId="77777777" w:rsidR="00444714" w:rsidRDefault="00444714" w:rsidP="007013ED">
      <w:pPr>
        <w:tabs>
          <w:tab w:val="left" w:pos="540"/>
        </w:tabs>
        <w:spacing w:after="0" w:line="240" w:lineRule="auto"/>
        <w:jc w:val="both"/>
        <w:rPr>
          <w:rFonts w:ascii="Verdana" w:hAnsi="Verdana" w:cs="Arial"/>
          <w:bCs/>
          <w:sz w:val="20"/>
          <w:szCs w:val="20"/>
        </w:rPr>
      </w:pPr>
      <w:bookmarkStart w:id="2" w:name="_Hlk117263205"/>
    </w:p>
    <w:p w14:paraId="581D4FE2" w14:textId="2131D97F" w:rsidR="007013ED" w:rsidRPr="00A2626A" w:rsidRDefault="007013ED" w:rsidP="007013ED">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10</w:t>
      </w:r>
      <w:r w:rsidRPr="00A2626A">
        <w:rPr>
          <w:rFonts w:ascii="Verdana" w:hAnsi="Verdana" w:cs="Arial"/>
          <w:bCs/>
          <w:sz w:val="20"/>
          <w:szCs w:val="20"/>
        </w:rPr>
        <w:t>.</w:t>
      </w:r>
    </w:p>
    <w:p w14:paraId="0E38BDB1" w14:textId="2A718ACD" w:rsidR="00E452C2" w:rsidRPr="00923E21" w:rsidRDefault="0021350F" w:rsidP="0021350F">
      <w:pPr>
        <w:jc w:val="both"/>
        <w:rPr>
          <w:rFonts w:ascii="Verdana" w:hAnsi="Verdana" w:cs="Arial"/>
          <w:sz w:val="20"/>
          <w:szCs w:val="20"/>
        </w:rPr>
      </w:pPr>
      <w:r w:rsidRPr="00923E21">
        <w:rPr>
          <w:rFonts w:ascii="Verdana" w:hAnsi="Verdana" w:cs="Arial"/>
          <w:sz w:val="20"/>
          <w:szCs w:val="20"/>
        </w:rPr>
        <w:t xml:space="preserve">El PA comprende los siguientes rubros, siempre que hayan sido clasificados por al SFC como parte del PA, según los requisitos establecidos en el numeral 2 del artículo 2.6.1.1.4 del Decreto 2555 de 2010 y lo previsto </w:t>
      </w:r>
      <w:bookmarkEnd w:id="2"/>
      <w:r w:rsidR="0051102C">
        <w:rPr>
          <w:rFonts w:ascii="Verdana" w:hAnsi="Verdana" w:cs="Arial"/>
          <w:sz w:val="20"/>
          <w:szCs w:val="20"/>
        </w:rPr>
        <w:t>entre los párrafos 2.4.3.13. y 2.4.3.16.</w:t>
      </w:r>
      <w:r w:rsidR="00E452C2">
        <w:rPr>
          <w:rFonts w:ascii="Verdana" w:hAnsi="Verdana" w:cs="Arial"/>
          <w:sz w:val="20"/>
          <w:szCs w:val="20"/>
        </w:rPr>
        <w:t>:</w:t>
      </w:r>
    </w:p>
    <w:tbl>
      <w:tblPr>
        <w:tblW w:w="870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1"/>
        <w:gridCol w:w="7643"/>
      </w:tblGrid>
      <w:tr w:rsidR="0021350F" w:rsidRPr="00923E21" w14:paraId="684D7895" w14:textId="77777777" w:rsidTr="00F72C18">
        <w:trPr>
          <w:trHeight w:val="391"/>
          <w:tblHeader/>
        </w:trPr>
        <w:tc>
          <w:tcPr>
            <w:tcW w:w="1061" w:type="dxa"/>
            <w:shd w:val="clear" w:color="auto" w:fill="D1D1D1" w:themeFill="background2" w:themeFillShade="E6"/>
            <w:vAlign w:val="center"/>
            <w:hideMark/>
          </w:tcPr>
          <w:p w14:paraId="76B7E3E8" w14:textId="77777777" w:rsidR="0021350F" w:rsidRPr="00F72C18" w:rsidRDefault="0021350F" w:rsidP="00F72C18">
            <w:pPr>
              <w:spacing w:after="0" w:line="240" w:lineRule="auto"/>
              <w:jc w:val="center"/>
              <w:rPr>
                <w:rFonts w:ascii="Verdana" w:eastAsia="Times New Roman" w:hAnsi="Verdana" w:cs="Arial"/>
                <w:b/>
                <w:bCs/>
                <w:color w:val="000000"/>
                <w:kern w:val="0"/>
                <w:sz w:val="16"/>
                <w:szCs w:val="16"/>
                <w:lang w:eastAsia="es-CO"/>
                <w14:ligatures w14:val="none"/>
              </w:rPr>
            </w:pPr>
            <w:r w:rsidRPr="00F72C18">
              <w:rPr>
                <w:rFonts w:ascii="Verdana" w:eastAsia="Times New Roman" w:hAnsi="Verdana" w:cs="Arial"/>
                <w:b/>
                <w:bCs/>
                <w:color w:val="000000"/>
                <w:kern w:val="0"/>
                <w:sz w:val="16"/>
                <w:szCs w:val="16"/>
                <w:lang w:eastAsia="es-CO"/>
                <w14:ligatures w14:val="none"/>
              </w:rPr>
              <w:t>Rubro</w:t>
            </w:r>
          </w:p>
        </w:tc>
        <w:tc>
          <w:tcPr>
            <w:tcW w:w="7643" w:type="dxa"/>
            <w:shd w:val="clear" w:color="auto" w:fill="D1D1D1" w:themeFill="background2" w:themeFillShade="E6"/>
            <w:noWrap/>
            <w:vAlign w:val="center"/>
            <w:hideMark/>
          </w:tcPr>
          <w:p w14:paraId="07AF39EA" w14:textId="77777777" w:rsidR="0021350F" w:rsidRPr="00F72C18" w:rsidRDefault="0021350F" w:rsidP="00F72C18">
            <w:pPr>
              <w:spacing w:after="0" w:line="240" w:lineRule="auto"/>
              <w:jc w:val="center"/>
              <w:rPr>
                <w:rFonts w:ascii="Verdana" w:eastAsia="Times New Roman" w:hAnsi="Verdana" w:cs="Arial"/>
                <w:b/>
                <w:bCs/>
                <w:color w:val="000000"/>
                <w:kern w:val="0"/>
                <w:sz w:val="16"/>
                <w:szCs w:val="16"/>
                <w:lang w:eastAsia="es-CO"/>
                <w14:ligatures w14:val="none"/>
              </w:rPr>
            </w:pPr>
            <w:r w:rsidRPr="00F72C18">
              <w:rPr>
                <w:rFonts w:ascii="Verdana" w:eastAsia="Times New Roman" w:hAnsi="Verdana" w:cs="Arial"/>
                <w:b/>
                <w:bCs/>
                <w:color w:val="000000"/>
                <w:kern w:val="0"/>
                <w:sz w:val="16"/>
                <w:szCs w:val="16"/>
                <w:lang w:eastAsia="es-CO"/>
                <w14:ligatures w14:val="none"/>
              </w:rPr>
              <w:t>Denominación</w:t>
            </w:r>
          </w:p>
        </w:tc>
      </w:tr>
      <w:tr w:rsidR="0021350F" w:rsidRPr="00923E21" w14:paraId="3039B8AA" w14:textId="77777777" w:rsidTr="0050A195">
        <w:trPr>
          <w:trHeight w:val="115"/>
        </w:trPr>
        <w:tc>
          <w:tcPr>
            <w:tcW w:w="1061" w:type="dxa"/>
            <w:shd w:val="clear" w:color="auto" w:fill="FFFFFF" w:themeFill="background1"/>
            <w:noWrap/>
            <w:vAlign w:val="center"/>
          </w:tcPr>
          <w:p w14:paraId="7F17DD44" w14:textId="77777777" w:rsidR="0021350F" w:rsidRPr="00F72C18" w:rsidRDefault="0021350F" w:rsidP="00F72C18">
            <w:pPr>
              <w:spacing w:after="0" w:line="240" w:lineRule="auto"/>
              <w:jc w:val="center"/>
              <w:rPr>
                <w:rFonts w:ascii="Verdana" w:eastAsia="Times New Roman" w:hAnsi="Verdana" w:cs="Arial"/>
                <w:color w:val="000000"/>
                <w:kern w:val="0"/>
                <w:sz w:val="16"/>
                <w:szCs w:val="16"/>
                <w:lang w:eastAsia="es-CO"/>
                <w14:ligatures w14:val="none"/>
              </w:rPr>
            </w:pPr>
            <w:r w:rsidRPr="00F72C18">
              <w:rPr>
                <w:rFonts w:ascii="Verdana" w:eastAsia="Times New Roman" w:hAnsi="Verdana" w:cs="Arial"/>
                <w:color w:val="000000"/>
                <w:kern w:val="0"/>
                <w:sz w:val="16"/>
                <w:szCs w:val="16"/>
                <w:lang w:eastAsia="es-CO"/>
                <w14:ligatures w14:val="none"/>
              </w:rPr>
              <w:t>1</w:t>
            </w:r>
          </w:p>
        </w:tc>
        <w:tc>
          <w:tcPr>
            <w:tcW w:w="7643" w:type="dxa"/>
            <w:shd w:val="clear" w:color="auto" w:fill="FFFFFF" w:themeFill="background1"/>
          </w:tcPr>
          <w:p w14:paraId="5190848B" w14:textId="77777777" w:rsidR="0021350F" w:rsidRPr="00F72C18" w:rsidRDefault="0021350F" w:rsidP="00F72C18">
            <w:pPr>
              <w:spacing w:after="0" w:line="240" w:lineRule="auto"/>
              <w:jc w:val="both"/>
              <w:rPr>
                <w:rFonts w:ascii="Verdana" w:eastAsia="Times New Roman" w:hAnsi="Verdana" w:cs="Arial"/>
                <w:color w:val="000000"/>
                <w:kern w:val="0"/>
                <w:sz w:val="16"/>
                <w:szCs w:val="16"/>
                <w:lang w:eastAsia="es-CO"/>
                <w14:ligatures w14:val="none"/>
              </w:rPr>
            </w:pPr>
            <w:r w:rsidRPr="00F72C18">
              <w:rPr>
                <w:rFonts w:ascii="Verdana" w:eastAsia="Times New Roman" w:hAnsi="Verdana" w:cs="Arial"/>
                <w:color w:val="000000"/>
                <w:kern w:val="0"/>
                <w:sz w:val="16"/>
                <w:szCs w:val="16"/>
                <w:lang w:eastAsia="es-CO"/>
                <w14:ligatures w14:val="none"/>
              </w:rPr>
              <w:t>Valor de los bonos obligatoriamente convertibles en acciones que sean efectivamente colocados y pagados, y que cumplan con los requisitos establecidos en el artículo 86 del EOSF.</w:t>
            </w:r>
          </w:p>
        </w:tc>
      </w:tr>
      <w:tr w:rsidR="0021350F" w:rsidRPr="00923E21" w14:paraId="79D7F3B3" w14:textId="77777777" w:rsidTr="0050A195">
        <w:trPr>
          <w:trHeight w:val="115"/>
        </w:trPr>
        <w:tc>
          <w:tcPr>
            <w:tcW w:w="1061" w:type="dxa"/>
            <w:shd w:val="clear" w:color="auto" w:fill="FFFFFF" w:themeFill="background1"/>
            <w:noWrap/>
            <w:vAlign w:val="center"/>
            <w:hideMark/>
          </w:tcPr>
          <w:p w14:paraId="316E2860" w14:textId="77777777" w:rsidR="0021350F" w:rsidRPr="00F72C18" w:rsidRDefault="0021350F" w:rsidP="00F72C18">
            <w:pPr>
              <w:spacing w:after="0" w:line="240" w:lineRule="auto"/>
              <w:jc w:val="center"/>
              <w:rPr>
                <w:rFonts w:ascii="Verdana" w:eastAsia="Times New Roman" w:hAnsi="Verdana" w:cs="Arial"/>
                <w:color w:val="000000"/>
                <w:kern w:val="0"/>
                <w:sz w:val="16"/>
                <w:szCs w:val="16"/>
                <w:lang w:eastAsia="es-CO"/>
                <w14:ligatures w14:val="none"/>
              </w:rPr>
            </w:pPr>
            <w:r w:rsidRPr="00F72C18">
              <w:rPr>
                <w:rFonts w:ascii="Verdana" w:eastAsia="Times New Roman" w:hAnsi="Verdana" w:cs="Arial"/>
                <w:color w:val="000000"/>
                <w:kern w:val="0"/>
                <w:sz w:val="16"/>
                <w:szCs w:val="16"/>
                <w:lang w:eastAsia="es-CO"/>
                <w14:ligatures w14:val="none"/>
              </w:rPr>
              <w:t>2</w:t>
            </w:r>
          </w:p>
        </w:tc>
        <w:tc>
          <w:tcPr>
            <w:tcW w:w="7643" w:type="dxa"/>
            <w:shd w:val="clear" w:color="auto" w:fill="FFFFFF" w:themeFill="background1"/>
            <w:hideMark/>
          </w:tcPr>
          <w:p w14:paraId="6A0FC3D0" w14:textId="77777777" w:rsidR="0021350F" w:rsidRPr="00F72C18" w:rsidRDefault="0021350F" w:rsidP="00F72C18">
            <w:pPr>
              <w:spacing w:after="0" w:line="240" w:lineRule="auto"/>
              <w:jc w:val="both"/>
              <w:rPr>
                <w:rFonts w:ascii="Verdana" w:eastAsia="Times New Roman" w:hAnsi="Verdana" w:cs="Arial"/>
                <w:color w:val="000000"/>
                <w:kern w:val="0"/>
                <w:sz w:val="16"/>
                <w:szCs w:val="16"/>
                <w:lang w:eastAsia="es-CO"/>
                <w14:ligatures w14:val="none"/>
              </w:rPr>
            </w:pPr>
            <w:r w:rsidRPr="00F72C18">
              <w:rPr>
                <w:rFonts w:ascii="Verdana" w:eastAsia="Times New Roman" w:hAnsi="Verdana" w:cs="Arial"/>
                <w:color w:val="000000"/>
                <w:kern w:val="0"/>
                <w:sz w:val="16"/>
                <w:szCs w:val="16"/>
                <w:lang w:eastAsia="es-CO"/>
                <w14:ligatures w14:val="none"/>
              </w:rPr>
              <w:t>Valor de los instrumentos de deuda que cumplan con los criterios de pertenencia del artículo 2.6.1.1.4 del Decreto 2555 de 2010. Su reconocimiento en el capital regulatorio será amortizado anualmente por el método de línea recta en los 5 años anteriores a su vencimiento.</w:t>
            </w:r>
          </w:p>
        </w:tc>
      </w:tr>
    </w:tbl>
    <w:p w14:paraId="3609E6C0" w14:textId="77777777" w:rsidR="00444714" w:rsidRDefault="00444714" w:rsidP="00AB275A">
      <w:pPr>
        <w:tabs>
          <w:tab w:val="left" w:pos="540"/>
        </w:tabs>
        <w:spacing w:after="0" w:line="240" w:lineRule="auto"/>
        <w:jc w:val="both"/>
        <w:rPr>
          <w:rFonts w:ascii="Verdana" w:hAnsi="Verdana" w:cs="Arial"/>
          <w:bCs/>
          <w:sz w:val="20"/>
          <w:szCs w:val="20"/>
        </w:rPr>
      </w:pPr>
    </w:p>
    <w:p w14:paraId="64B82D5E" w14:textId="7D8D6FE0" w:rsidR="00AB275A" w:rsidRPr="00A2626A" w:rsidRDefault="00AB275A" w:rsidP="00AB275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11</w:t>
      </w:r>
      <w:r w:rsidRPr="00A2626A">
        <w:rPr>
          <w:rFonts w:ascii="Verdana" w:hAnsi="Verdana" w:cs="Arial"/>
          <w:bCs/>
          <w:sz w:val="20"/>
          <w:szCs w:val="20"/>
        </w:rPr>
        <w:t>.</w:t>
      </w:r>
    </w:p>
    <w:p w14:paraId="496C48D1"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El valor total del PA no podrá exceder del 100% del valor total del PB.</w:t>
      </w:r>
    </w:p>
    <w:p w14:paraId="574B9D4E" w14:textId="59544450" w:rsidR="0021350F" w:rsidRPr="00AF10D9" w:rsidRDefault="0021350F" w:rsidP="00AF10D9">
      <w:pPr>
        <w:tabs>
          <w:tab w:val="left" w:pos="567"/>
        </w:tabs>
        <w:jc w:val="both"/>
        <w:rPr>
          <w:rFonts w:ascii="Verdana" w:hAnsi="Verdana" w:cs="Arial"/>
          <w:b/>
          <w:bCs/>
          <w:sz w:val="20"/>
          <w:szCs w:val="20"/>
        </w:rPr>
      </w:pPr>
      <w:r w:rsidRPr="00AF10D9">
        <w:rPr>
          <w:rFonts w:ascii="Verdana" w:hAnsi="Verdana" w:cs="Arial"/>
          <w:b/>
          <w:bCs/>
          <w:sz w:val="20"/>
          <w:szCs w:val="20"/>
        </w:rPr>
        <w:t xml:space="preserve">Deducciones al PT </w:t>
      </w:r>
    </w:p>
    <w:p w14:paraId="7CE3A089" w14:textId="6C260E7F" w:rsidR="00AB275A" w:rsidRPr="00A2626A" w:rsidRDefault="00AB275A" w:rsidP="00AB275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12</w:t>
      </w:r>
      <w:r w:rsidRPr="00A2626A">
        <w:rPr>
          <w:rFonts w:ascii="Verdana" w:hAnsi="Verdana" w:cs="Arial"/>
          <w:bCs/>
          <w:sz w:val="20"/>
          <w:szCs w:val="20"/>
        </w:rPr>
        <w:t>.</w:t>
      </w:r>
    </w:p>
    <w:p w14:paraId="5AF4C466" w14:textId="702D9C5D" w:rsidR="00E452C2" w:rsidRPr="00923E21" w:rsidRDefault="0021350F" w:rsidP="0021350F">
      <w:pPr>
        <w:jc w:val="both"/>
        <w:rPr>
          <w:rFonts w:ascii="Verdana" w:hAnsi="Verdana" w:cs="Arial"/>
          <w:sz w:val="20"/>
          <w:szCs w:val="20"/>
        </w:rPr>
      </w:pPr>
      <w:r w:rsidRPr="00923E21">
        <w:rPr>
          <w:rFonts w:ascii="Verdana" w:hAnsi="Verdana" w:cs="Arial"/>
          <w:sz w:val="20"/>
          <w:szCs w:val="20"/>
        </w:rPr>
        <w:t>Las deducciones al PT de las que trata el artículo 2.6.1.1.3. y el numeral 10 del artículo 2.6.1.1.10 del Decreto 2555 de 2010, comprenden los siguientes rubros:</w:t>
      </w:r>
    </w:p>
    <w:tbl>
      <w:tblPr>
        <w:tblW w:w="88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3"/>
        <w:gridCol w:w="7938"/>
      </w:tblGrid>
      <w:tr w:rsidR="0021350F" w:rsidRPr="00923E21" w14:paraId="3D5829B7" w14:textId="77777777" w:rsidTr="0050A195">
        <w:trPr>
          <w:trHeight w:val="259"/>
          <w:tblHeader/>
        </w:trPr>
        <w:tc>
          <w:tcPr>
            <w:tcW w:w="923" w:type="dxa"/>
            <w:shd w:val="clear" w:color="auto" w:fill="D9D9D9" w:themeFill="background1" w:themeFillShade="D9"/>
            <w:vAlign w:val="center"/>
            <w:hideMark/>
          </w:tcPr>
          <w:p w14:paraId="25E87764" w14:textId="77777777" w:rsidR="0021350F" w:rsidRPr="00673EFC" w:rsidRDefault="0021350F" w:rsidP="00673EFC">
            <w:pPr>
              <w:spacing w:after="0" w:line="240" w:lineRule="auto"/>
              <w:jc w:val="center"/>
              <w:rPr>
                <w:rFonts w:ascii="Verdana" w:eastAsia="Times New Roman" w:hAnsi="Verdana" w:cs="Arial"/>
                <w:b/>
                <w:bCs/>
                <w:color w:val="000000"/>
                <w:kern w:val="0"/>
                <w:sz w:val="16"/>
                <w:szCs w:val="16"/>
                <w:lang w:eastAsia="es-CO"/>
                <w14:ligatures w14:val="none"/>
              </w:rPr>
            </w:pPr>
            <w:r w:rsidRPr="00673EFC">
              <w:rPr>
                <w:rFonts w:ascii="Verdana" w:eastAsia="Times New Roman" w:hAnsi="Verdana" w:cs="Arial"/>
                <w:b/>
                <w:bCs/>
                <w:color w:val="000000"/>
                <w:kern w:val="0"/>
                <w:sz w:val="16"/>
                <w:szCs w:val="16"/>
                <w:lang w:eastAsia="es-CO"/>
                <w14:ligatures w14:val="none"/>
              </w:rPr>
              <w:t>Rubro</w:t>
            </w:r>
          </w:p>
        </w:tc>
        <w:tc>
          <w:tcPr>
            <w:tcW w:w="7938" w:type="dxa"/>
            <w:shd w:val="clear" w:color="auto" w:fill="D9D9D9" w:themeFill="background1" w:themeFillShade="D9"/>
            <w:noWrap/>
            <w:vAlign w:val="center"/>
            <w:hideMark/>
          </w:tcPr>
          <w:p w14:paraId="6238EFE6" w14:textId="77777777" w:rsidR="0021350F" w:rsidRPr="00673EFC" w:rsidRDefault="0021350F" w:rsidP="00673EFC">
            <w:pPr>
              <w:spacing w:after="0" w:line="240" w:lineRule="auto"/>
              <w:jc w:val="center"/>
              <w:rPr>
                <w:rFonts w:ascii="Verdana" w:eastAsia="Times New Roman" w:hAnsi="Verdana" w:cs="Arial"/>
                <w:b/>
                <w:bCs/>
                <w:color w:val="000000"/>
                <w:kern w:val="0"/>
                <w:sz w:val="16"/>
                <w:szCs w:val="16"/>
                <w:lang w:eastAsia="es-CO"/>
                <w14:ligatures w14:val="none"/>
              </w:rPr>
            </w:pPr>
            <w:r w:rsidRPr="00673EFC">
              <w:rPr>
                <w:rFonts w:ascii="Verdana" w:eastAsia="Times New Roman" w:hAnsi="Verdana" w:cs="Arial"/>
                <w:b/>
                <w:bCs/>
                <w:color w:val="000000"/>
                <w:kern w:val="0"/>
                <w:sz w:val="16"/>
                <w:szCs w:val="16"/>
                <w:lang w:eastAsia="es-CO"/>
                <w14:ligatures w14:val="none"/>
              </w:rPr>
              <w:t>Denominación</w:t>
            </w:r>
          </w:p>
        </w:tc>
      </w:tr>
      <w:tr w:rsidR="0021350F" w:rsidRPr="00923E21" w14:paraId="0ABE17F9" w14:textId="77777777" w:rsidTr="0050A195">
        <w:trPr>
          <w:trHeight w:val="421"/>
        </w:trPr>
        <w:tc>
          <w:tcPr>
            <w:tcW w:w="923" w:type="dxa"/>
            <w:shd w:val="clear" w:color="auto" w:fill="FFFFFF" w:themeFill="background1"/>
            <w:noWrap/>
            <w:vAlign w:val="center"/>
          </w:tcPr>
          <w:p w14:paraId="7A451F2E" w14:textId="77777777" w:rsidR="0021350F" w:rsidRPr="00673EFC" w:rsidRDefault="0021350F" w:rsidP="00673EFC">
            <w:pPr>
              <w:spacing w:after="0" w:line="240" w:lineRule="auto"/>
              <w:jc w:val="center"/>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1</w:t>
            </w:r>
          </w:p>
        </w:tc>
        <w:tc>
          <w:tcPr>
            <w:tcW w:w="7938" w:type="dxa"/>
            <w:shd w:val="clear" w:color="auto" w:fill="FFFFFF" w:themeFill="background1"/>
            <w:vAlign w:val="center"/>
          </w:tcPr>
          <w:p w14:paraId="48CA0F69" w14:textId="77777777" w:rsidR="0021350F" w:rsidRPr="00673EFC" w:rsidRDefault="0021350F" w:rsidP="00673EFC">
            <w:pPr>
              <w:spacing w:after="0" w:line="240" w:lineRule="auto"/>
              <w:jc w:val="both"/>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Saldo mínimo requerido del periodo para la reserva de estabilización de rendimientos de los fondos de pensiones obligatorias.</w:t>
            </w:r>
          </w:p>
        </w:tc>
      </w:tr>
      <w:tr w:rsidR="0021350F" w:rsidRPr="00923E21" w14:paraId="4E3AF113" w14:textId="77777777" w:rsidTr="00E5525F">
        <w:trPr>
          <w:trHeight w:val="459"/>
        </w:trPr>
        <w:tc>
          <w:tcPr>
            <w:tcW w:w="923" w:type="dxa"/>
            <w:shd w:val="clear" w:color="auto" w:fill="FFFFFF" w:themeFill="background1"/>
            <w:noWrap/>
            <w:vAlign w:val="center"/>
          </w:tcPr>
          <w:p w14:paraId="39AA635B" w14:textId="77777777" w:rsidR="0021350F" w:rsidRPr="00673EFC" w:rsidRDefault="0021350F" w:rsidP="00673EFC">
            <w:pPr>
              <w:spacing w:after="0" w:line="240" w:lineRule="auto"/>
              <w:jc w:val="center"/>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2</w:t>
            </w:r>
          </w:p>
        </w:tc>
        <w:tc>
          <w:tcPr>
            <w:tcW w:w="7938" w:type="dxa"/>
            <w:shd w:val="clear" w:color="auto" w:fill="FFFFFF" w:themeFill="background1"/>
            <w:vAlign w:val="center"/>
          </w:tcPr>
          <w:p w14:paraId="58B260DD" w14:textId="77777777" w:rsidR="0021350F" w:rsidRPr="00673EFC" w:rsidRDefault="0021350F" w:rsidP="00673EFC">
            <w:pPr>
              <w:spacing w:after="0" w:line="240" w:lineRule="auto"/>
              <w:jc w:val="both"/>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Saldo mínimo requerido del periodo para la reserva de estabilización de rendimientos del fondo de cesantías.</w:t>
            </w:r>
          </w:p>
        </w:tc>
      </w:tr>
      <w:tr w:rsidR="0021350F" w:rsidRPr="00923E21" w14:paraId="42D0C7BF" w14:textId="77777777" w:rsidTr="0050A195">
        <w:trPr>
          <w:trHeight w:val="432"/>
        </w:trPr>
        <w:tc>
          <w:tcPr>
            <w:tcW w:w="923" w:type="dxa"/>
            <w:shd w:val="clear" w:color="auto" w:fill="FFFFFF" w:themeFill="background1"/>
            <w:noWrap/>
            <w:vAlign w:val="center"/>
          </w:tcPr>
          <w:p w14:paraId="463F4A3B" w14:textId="77777777" w:rsidR="0021350F" w:rsidRPr="00673EFC" w:rsidRDefault="0021350F" w:rsidP="00673EFC">
            <w:pPr>
              <w:spacing w:after="0" w:line="240" w:lineRule="auto"/>
              <w:jc w:val="center"/>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3</w:t>
            </w:r>
          </w:p>
        </w:tc>
        <w:tc>
          <w:tcPr>
            <w:tcW w:w="7938" w:type="dxa"/>
            <w:shd w:val="clear" w:color="auto" w:fill="FFFFFF" w:themeFill="background1"/>
            <w:vAlign w:val="center"/>
          </w:tcPr>
          <w:p w14:paraId="050F9B98" w14:textId="77777777" w:rsidR="0021350F" w:rsidRPr="00673EFC" w:rsidRDefault="0021350F" w:rsidP="00673EFC">
            <w:pPr>
              <w:spacing w:after="0" w:line="240" w:lineRule="auto"/>
              <w:jc w:val="both"/>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Saldo mínimo requerido del periodo para la reserva de estabilización de rendimientos de los patrimonios autónomos del Fonpet.</w:t>
            </w:r>
          </w:p>
        </w:tc>
      </w:tr>
      <w:tr w:rsidR="0021350F" w:rsidRPr="00923E21" w14:paraId="01CA16CF" w14:textId="77777777" w:rsidTr="0050A195">
        <w:trPr>
          <w:trHeight w:val="551"/>
        </w:trPr>
        <w:tc>
          <w:tcPr>
            <w:tcW w:w="923" w:type="dxa"/>
            <w:shd w:val="clear" w:color="auto" w:fill="FFFFFF" w:themeFill="background1"/>
            <w:noWrap/>
            <w:vAlign w:val="center"/>
          </w:tcPr>
          <w:p w14:paraId="5E8BC6B2" w14:textId="77777777" w:rsidR="0021350F" w:rsidRPr="00673EFC" w:rsidRDefault="0021350F" w:rsidP="00673EFC">
            <w:pPr>
              <w:spacing w:after="0" w:line="240" w:lineRule="auto"/>
              <w:jc w:val="center"/>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4</w:t>
            </w:r>
          </w:p>
        </w:tc>
        <w:tc>
          <w:tcPr>
            <w:tcW w:w="7938" w:type="dxa"/>
            <w:shd w:val="clear" w:color="auto" w:fill="FFFFFF" w:themeFill="background1"/>
            <w:vAlign w:val="center"/>
          </w:tcPr>
          <w:p w14:paraId="3352927A" w14:textId="77777777" w:rsidR="0021350F" w:rsidRPr="00673EFC" w:rsidRDefault="0021350F" w:rsidP="00673EFC">
            <w:pPr>
              <w:spacing w:after="0" w:line="240" w:lineRule="auto"/>
              <w:jc w:val="both"/>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Saldo mínimo requerido del periodo para la reserva de estabilización de rendimientos de los demás patrimonios autónomos.</w:t>
            </w:r>
          </w:p>
        </w:tc>
      </w:tr>
      <w:tr w:rsidR="0021350F" w:rsidRPr="00923E21" w14:paraId="7775ED9D" w14:textId="77777777" w:rsidTr="0050A195">
        <w:trPr>
          <w:trHeight w:val="558"/>
        </w:trPr>
        <w:tc>
          <w:tcPr>
            <w:tcW w:w="923" w:type="dxa"/>
            <w:shd w:val="clear" w:color="auto" w:fill="FFFFFF" w:themeFill="background1"/>
            <w:noWrap/>
            <w:vAlign w:val="center"/>
          </w:tcPr>
          <w:p w14:paraId="40D9B76D" w14:textId="77777777" w:rsidR="0021350F" w:rsidRPr="00673EFC" w:rsidRDefault="0021350F" w:rsidP="00673EFC">
            <w:pPr>
              <w:spacing w:after="0" w:line="240" w:lineRule="auto"/>
              <w:jc w:val="center"/>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5</w:t>
            </w:r>
          </w:p>
        </w:tc>
        <w:tc>
          <w:tcPr>
            <w:tcW w:w="7938" w:type="dxa"/>
            <w:shd w:val="clear" w:color="auto" w:fill="FFFFFF" w:themeFill="background1"/>
            <w:vAlign w:val="center"/>
          </w:tcPr>
          <w:p w14:paraId="7B5E9B3A" w14:textId="77777777" w:rsidR="0021350F" w:rsidRPr="00673EFC" w:rsidRDefault="0021350F" w:rsidP="00673EFC">
            <w:pPr>
              <w:spacing w:after="0" w:line="240" w:lineRule="auto"/>
              <w:jc w:val="both"/>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Títulos derivados de procesos de titularización que tengan calificación de riesgo de largo plazo menor a “CCC” o sin calificación.</w:t>
            </w:r>
          </w:p>
        </w:tc>
      </w:tr>
      <w:tr w:rsidR="0021350F" w:rsidRPr="00923E21" w14:paraId="04B99E23" w14:textId="77777777" w:rsidTr="0050A195">
        <w:trPr>
          <w:trHeight w:val="552"/>
        </w:trPr>
        <w:tc>
          <w:tcPr>
            <w:tcW w:w="923" w:type="dxa"/>
            <w:shd w:val="clear" w:color="auto" w:fill="FFFFFF" w:themeFill="background1"/>
            <w:noWrap/>
            <w:vAlign w:val="center"/>
          </w:tcPr>
          <w:p w14:paraId="02298F75" w14:textId="77777777" w:rsidR="0021350F" w:rsidRPr="00673EFC" w:rsidRDefault="0021350F" w:rsidP="00673EFC">
            <w:pPr>
              <w:spacing w:after="0" w:line="240" w:lineRule="auto"/>
              <w:jc w:val="center"/>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6</w:t>
            </w:r>
          </w:p>
        </w:tc>
        <w:tc>
          <w:tcPr>
            <w:tcW w:w="7938" w:type="dxa"/>
            <w:shd w:val="clear" w:color="auto" w:fill="FFFFFF" w:themeFill="background1"/>
            <w:vAlign w:val="center"/>
          </w:tcPr>
          <w:p w14:paraId="0F7132E1" w14:textId="77777777" w:rsidR="0021350F" w:rsidRPr="00673EFC" w:rsidRDefault="0021350F" w:rsidP="00673EFC">
            <w:pPr>
              <w:spacing w:after="0" w:line="240" w:lineRule="auto"/>
              <w:jc w:val="both"/>
              <w:rPr>
                <w:rFonts w:ascii="Verdana" w:eastAsia="Times New Roman" w:hAnsi="Verdana" w:cs="Arial"/>
                <w:color w:val="000000"/>
                <w:kern w:val="0"/>
                <w:sz w:val="16"/>
                <w:szCs w:val="16"/>
                <w:lang w:eastAsia="es-CO"/>
                <w14:ligatures w14:val="none"/>
              </w:rPr>
            </w:pPr>
            <w:r w:rsidRPr="00673EFC">
              <w:rPr>
                <w:rFonts w:ascii="Verdana" w:eastAsia="Times New Roman" w:hAnsi="Verdana" w:cs="Arial"/>
                <w:color w:val="000000"/>
                <w:kern w:val="0"/>
                <w:sz w:val="16"/>
                <w:szCs w:val="16"/>
                <w:lang w:eastAsia="es-CO"/>
                <w14:ligatures w14:val="none"/>
              </w:rPr>
              <w:t>Títulos derivados de procesos de titularización que tengan calificación de riesgo de corto plazo igual a “5“o sin calificación.</w:t>
            </w:r>
          </w:p>
        </w:tc>
      </w:tr>
    </w:tbl>
    <w:p w14:paraId="3617DD4D" w14:textId="77777777" w:rsidR="00444714" w:rsidRDefault="00444714" w:rsidP="00AF10D9">
      <w:pPr>
        <w:tabs>
          <w:tab w:val="left" w:pos="567"/>
        </w:tabs>
        <w:jc w:val="both"/>
        <w:rPr>
          <w:rFonts w:ascii="Verdana" w:hAnsi="Verdana" w:cs="Arial"/>
          <w:b/>
          <w:bCs/>
          <w:sz w:val="20"/>
          <w:szCs w:val="20"/>
        </w:rPr>
      </w:pPr>
    </w:p>
    <w:p w14:paraId="419F623D" w14:textId="585C8085" w:rsidR="0021350F" w:rsidRPr="00444714" w:rsidRDefault="0021350F" w:rsidP="00444714">
      <w:pPr>
        <w:tabs>
          <w:tab w:val="left" w:pos="567"/>
        </w:tabs>
        <w:jc w:val="both"/>
        <w:rPr>
          <w:rFonts w:ascii="Verdana" w:hAnsi="Verdana" w:cs="Arial"/>
          <w:b/>
          <w:bCs/>
          <w:sz w:val="20"/>
          <w:szCs w:val="20"/>
        </w:rPr>
      </w:pPr>
      <w:r w:rsidRPr="00AF10D9">
        <w:rPr>
          <w:rFonts w:ascii="Verdana" w:hAnsi="Verdana" w:cs="Arial"/>
          <w:b/>
          <w:bCs/>
          <w:sz w:val="20"/>
          <w:szCs w:val="20"/>
        </w:rPr>
        <w:t xml:space="preserve">Requisitos de pertenencia y clasificación de las acciones e instrumentos de deuda </w:t>
      </w:r>
    </w:p>
    <w:p w14:paraId="0B070158" w14:textId="6148867E" w:rsidR="00AB275A" w:rsidRPr="00A2626A" w:rsidRDefault="00AB275A" w:rsidP="00AB275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13</w:t>
      </w:r>
      <w:r w:rsidRPr="00A2626A">
        <w:rPr>
          <w:rFonts w:ascii="Verdana" w:hAnsi="Verdana" w:cs="Arial"/>
          <w:bCs/>
          <w:sz w:val="20"/>
          <w:szCs w:val="20"/>
        </w:rPr>
        <w:t>.</w:t>
      </w:r>
    </w:p>
    <w:p w14:paraId="1A888CC3" w14:textId="653A980A" w:rsidR="0021350F" w:rsidRPr="00923E21" w:rsidRDefault="0021350F" w:rsidP="0021350F">
      <w:pPr>
        <w:jc w:val="both"/>
        <w:rPr>
          <w:rFonts w:ascii="Verdana" w:hAnsi="Verdana" w:cs="Arial"/>
          <w:sz w:val="20"/>
          <w:szCs w:val="20"/>
        </w:rPr>
      </w:pPr>
      <w:r w:rsidRPr="00923E21">
        <w:rPr>
          <w:rFonts w:ascii="Verdana" w:hAnsi="Verdana" w:cs="Arial"/>
          <w:sz w:val="20"/>
          <w:szCs w:val="20"/>
        </w:rPr>
        <w:t>En virtud del parágrafo 1 del artículo 2.6.1.1.3 del Decreto 2555 de 2010, la SFC definirá la pertenencia al PB y PA de las acciones</w:t>
      </w:r>
      <w:r w:rsidRPr="00923E21">
        <w:rPr>
          <w:rFonts w:ascii="Verdana" w:hAnsi="Verdana" w:cs="Arial"/>
          <w:b/>
          <w:sz w:val="20"/>
          <w:szCs w:val="20"/>
        </w:rPr>
        <w:t xml:space="preserve"> </w:t>
      </w:r>
      <w:r w:rsidRPr="00923E21">
        <w:rPr>
          <w:rFonts w:ascii="Verdana" w:hAnsi="Verdana" w:cs="Arial"/>
          <w:sz w:val="20"/>
          <w:szCs w:val="20"/>
        </w:rPr>
        <w:t xml:space="preserve">y de los instrumentos de deuda. Para el efecto, la entidad vigilada debe solicitar la clasificación de los instrumentos de capital siguiendo las instrucciones señaladas </w:t>
      </w:r>
      <w:r w:rsidRPr="00C23C6B">
        <w:rPr>
          <w:rFonts w:ascii="Verdana" w:hAnsi="Verdana" w:cs="Arial"/>
          <w:sz w:val="20"/>
          <w:szCs w:val="20"/>
        </w:rPr>
        <w:t xml:space="preserve">en el </w:t>
      </w:r>
      <w:r w:rsidR="00C23C6B" w:rsidRPr="00C23C6B">
        <w:rPr>
          <w:rFonts w:ascii="Verdana" w:hAnsi="Verdana" w:cs="Arial"/>
          <w:sz w:val="20"/>
          <w:szCs w:val="20"/>
        </w:rPr>
        <w:t>a</w:t>
      </w:r>
      <w:r w:rsidRPr="00C23C6B">
        <w:rPr>
          <w:rFonts w:ascii="Verdana" w:hAnsi="Verdana" w:cs="Arial"/>
          <w:sz w:val="20"/>
          <w:szCs w:val="20"/>
        </w:rPr>
        <w:t>nexo 1 del presente capítulo. Los instrumentos que la SFC no clasifique no podrán hacer parte de los recursos del PT de la</w:t>
      </w:r>
      <w:r w:rsidRPr="00923E21">
        <w:rPr>
          <w:rFonts w:ascii="Verdana" w:hAnsi="Verdana" w:cs="Arial"/>
          <w:sz w:val="20"/>
          <w:szCs w:val="20"/>
        </w:rPr>
        <w:t xml:space="preserve"> entidad.</w:t>
      </w:r>
    </w:p>
    <w:p w14:paraId="365C8CD4" w14:textId="10C5CAC2" w:rsidR="00AB275A" w:rsidRPr="00A2626A" w:rsidRDefault="00AB275A" w:rsidP="00AB275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14</w:t>
      </w:r>
      <w:r w:rsidRPr="00A2626A">
        <w:rPr>
          <w:rFonts w:ascii="Verdana" w:hAnsi="Verdana" w:cs="Arial"/>
          <w:bCs/>
          <w:sz w:val="20"/>
          <w:szCs w:val="20"/>
        </w:rPr>
        <w:t>.</w:t>
      </w:r>
    </w:p>
    <w:p w14:paraId="7E533DA2" w14:textId="4D58F9AD" w:rsidR="00444714" w:rsidRPr="00923E21" w:rsidRDefault="0021350F" w:rsidP="0021350F">
      <w:pPr>
        <w:jc w:val="both"/>
        <w:rPr>
          <w:rFonts w:ascii="Verdana" w:hAnsi="Verdana" w:cs="Arial"/>
          <w:sz w:val="20"/>
          <w:szCs w:val="20"/>
        </w:rPr>
      </w:pPr>
      <w:r w:rsidRPr="00923E21">
        <w:rPr>
          <w:rFonts w:ascii="Verdana" w:hAnsi="Verdana" w:cs="Arial"/>
          <w:sz w:val="20"/>
          <w:szCs w:val="20"/>
        </w:rPr>
        <w:t>Cada vez que se emitan nuevos instrumentos de capital para el cómputo en el PB o PA, las entidades deberán presentarlos para su correspondiente clasificación por parte de la SFC.</w:t>
      </w:r>
    </w:p>
    <w:p w14:paraId="0F0032F8" w14:textId="0DF13088" w:rsidR="00AB275A" w:rsidRPr="00A2626A" w:rsidRDefault="00AB275A" w:rsidP="00AB275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1</w:t>
      </w:r>
      <w:r w:rsidR="00E92B6B">
        <w:rPr>
          <w:rFonts w:ascii="Verdana" w:hAnsi="Verdana" w:cs="Arial"/>
          <w:bCs/>
          <w:sz w:val="20"/>
          <w:szCs w:val="20"/>
        </w:rPr>
        <w:t>5</w:t>
      </w:r>
      <w:r w:rsidRPr="00A2626A">
        <w:rPr>
          <w:rFonts w:ascii="Verdana" w:hAnsi="Verdana" w:cs="Arial"/>
          <w:bCs/>
          <w:sz w:val="20"/>
          <w:szCs w:val="20"/>
        </w:rPr>
        <w:t>.</w:t>
      </w:r>
    </w:p>
    <w:p w14:paraId="5CC23559" w14:textId="75BD6DE4" w:rsidR="0021350F" w:rsidRPr="00923E21" w:rsidRDefault="0021350F" w:rsidP="0050A195">
      <w:pPr>
        <w:pStyle w:val="Prrafodelista"/>
        <w:ind w:left="0"/>
        <w:jc w:val="both"/>
        <w:rPr>
          <w:rFonts w:ascii="Verdana" w:hAnsi="Verdana" w:cs="Arial"/>
          <w:sz w:val="20"/>
          <w:szCs w:val="20"/>
        </w:rPr>
      </w:pPr>
      <w:r w:rsidRPr="0050A195">
        <w:rPr>
          <w:rFonts w:ascii="Verdana" w:hAnsi="Verdana" w:cs="Arial"/>
          <w:sz w:val="20"/>
          <w:szCs w:val="20"/>
        </w:rPr>
        <w:t xml:space="preserve">En relación con el criterio de pertenencia a las diferentes categorías del PT “No financiado por la entidad” establecidos en los subnumerales 1.5 y 2.5 del artículo 2.6.1.1.4 del Decreto 2555 de 2010, es necesario precisar que, para efectos del presente </w:t>
      </w:r>
      <w:r w:rsidR="009739AE">
        <w:rPr>
          <w:rFonts w:ascii="Verdana" w:hAnsi="Verdana" w:cs="Arial"/>
          <w:sz w:val="20"/>
          <w:szCs w:val="20"/>
        </w:rPr>
        <w:t>c</w:t>
      </w:r>
      <w:r w:rsidRPr="0050A195">
        <w:rPr>
          <w:rFonts w:ascii="Verdana" w:hAnsi="Verdana" w:cs="Arial"/>
          <w:sz w:val="20"/>
          <w:szCs w:val="20"/>
        </w:rPr>
        <w:t>apítulo, se entiende por “vinculado” cualquier participante que sea:</w:t>
      </w:r>
    </w:p>
    <w:p w14:paraId="2185791E" w14:textId="77777777" w:rsidR="0021350F" w:rsidRPr="00923E21" w:rsidRDefault="0021350F" w:rsidP="0021350F">
      <w:pPr>
        <w:pStyle w:val="Prrafodelista"/>
        <w:ind w:left="0"/>
        <w:jc w:val="both"/>
        <w:rPr>
          <w:rFonts w:ascii="Verdana" w:hAnsi="Verdana" w:cs="Arial"/>
          <w:sz w:val="20"/>
          <w:szCs w:val="20"/>
        </w:rPr>
      </w:pPr>
    </w:p>
    <w:p w14:paraId="188428F3" w14:textId="64014FF0" w:rsidR="0021350F" w:rsidRPr="00AF10D9" w:rsidRDefault="0021350F" w:rsidP="00F72C18">
      <w:pPr>
        <w:pStyle w:val="Prrafodelista"/>
        <w:numPr>
          <w:ilvl w:val="0"/>
          <w:numId w:val="5"/>
        </w:numPr>
        <w:spacing w:after="0" w:line="240" w:lineRule="auto"/>
        <w:ind w:left="567" w:hanging="567"/>
        <w:jc w:val="both"/>
        <w:rPr>
          <w:rFonts w:ascii="Verdana" w:hAnsi="Verdana" w:cs="Arial"/>
          <w:sz w:val="20"/>
          <w:szCs w:val="20"/>
        </w:rPr>
      </w:pPr>
      <w:r w:rsidRPr="00AF10D9">
        <w:rPr>
          <w:rFonts w:ascii="Verdana" w:hAnsi="Verdana" w:cs="Arial"/>
          <w:sz w:val="20"/>
          <w:szCs w:val="20"/>
        </w:rPr>
        <w:t>El o los accionistas o beneficiarios reales del 5% o más de la participación accionaria en la entidad.</w:t>
      </w:r>
    </w:p>
    <w:p w14:paraId="016D7F68" w14:textId="77777777" w:rsidR="00C35C1A" w:rsidRPr="004053DC" w:rsidRDefault="00C35C1A" w:rsidP="00C35C1A">
      <w:pPr>
        <w:pStyle w:val="Prrafodelista"/>
        <w:spacing w:after="0" w:line="240" w:lineRule="auto"/>
        <w:ind w:left="1701"/>
        <w:jc w:val="both"/>
        <w:rPr>
          <w:rFonts w:ascii="Verdana" w:hAnsi="Verdana" w:cs="Arial"/>
          <w:sz w:val="20"/>
          <w:szCs w:val="20"/>
        </w:rPr>
      </w:pPr>
    </w:p>
    <w:p w14:paraId="2123BCD5" w14:textId="709927E8" w:rsidR="0021350F" w:rsidRPr="00AF10D9" w:rsidRDefault="0021350F" w:rsidP="00F72C18">
      <w:pPr>
        <w:pStyle w:val="Prrafodelista"/>
        <w:numPr>
          <w:ilvl w:val="0"/>
          <w:numId w:val="5"/>
        </w:numPr>
        <w:spacing w:after="0" w:line="240" w:lineRule="auto"/>
        <w:ind w:left="567" w:hanging="567"/>
        <w:jc w:val="both"/>
        <w:rPr>
          <w:rFonts w:ascii="Verdana" w:hAnsi="Verdana" w:cs="Arial"/>
          <w:sz w:val="20"/>
          <w:szCs w:val="20"/>
        </w:rPr>
      </w:pPr>
      <w:r w:rsidRPr="00AF10D9">
        <w:rPr>
          <w:rFonts w:ascii="Verdana" w:hAnsi="Verdana" w:cs="Arial"/>
          <w:sz w:val="20"/>
          <w:szCs w:val="20"/>
        </w:rPr>
        <w:t>Las personas jurídicas en las cuales la entidad sea beneficiario real del 5% o más de la participación accionaria.</w:t>
      </w:r>
    </w:p>
    <w:p w14:paraId="67C6F761" w14:textId="77777777" w:rsidR="00C35C1A" w:rsidRPr="00C35C1A" w:rsidRDefault="00C35C1A" w:rsidP="00C35C1A">
      <w:pPr>
        <w:pStyle w:val="Prrafodelista"/>
        <w:rPr>
          <w:rFonts w:ascii="Verdana" w:hAnsi="Verdana" w:cs="Arial"/>
          <w:sz w:val="20"/>
          <w:szCs w:val="20"/>
        </w:rPr>
      </w:pPr>
    </w:p>
    <w:p w14:paraId="731006F3" w14:textId="13752599" w:rsidR="0021350F" w:rsidRPr="00AF10D9" w:rsidRDefault="0021350F" w:rsidP="00F72C18">
      <w:pPr>
        <w:pStyle w:val="Prrafodelista"/>
        <w:numPr>
          <w:ilvl w:val="0"/>
          <w:numId w:val="5"/>
        </w:numPr>
        <w:spacing w:after="0" w:line="240" w:lineRule="auto"/>
        <w:ind w:left="567" w:hanging="567"/>
        <w:jc w:val="both"/>
        <w:rPr>
          <w:rFonts w:ascii="Verdana" w:hAnsi="Verdana" w:cs="Arial"/>
          <w:sz w:val="20"/>
          <w:szCs w:val="20"/>
        </w:rPr>
      </w:pPr>
      <w:r w:rsidRPr="00AF10D9">
        <w:rPr>
          <w:rFonts w:ascii="Verdana" w:hAnsi="Verdana" w:cs="Arial"/>
          <w:sz w:val="20"/>
          <w:szCs w:val="20"/>
        </w:rPr>
        <w:t>La matriz de la entidad y sus subordinadas.</w:t>
      </w:r>
    </w:p>
    <w:p w14:paraId="176A91DC" w14:textId="77777777" w:rsidR="00444714" w:rsidRDefault="00444714" w:rsidP="00AB275A">
      <w:pPr>
        <w:tabs>
          <w:tab w:val="left" w:pos="540"/>
        </w:tabs>
        <w:spacing w:after="0" w:line="240" w:lineRule="auto"/>
        <w:jc w:val="both"/>
        <w:rPr>
          <w:rFonts w:ascii="Verdana" w:hAnsi="Verdana" w:cs="Arial"/>
          <w:sz w:val="20"/>
          <w:szCs w:val="20"/>
        </w:rPr>
      </w:pPr>
    </w:p>
    <w:p w14:paraId="15B01A4E" w14:textId="74E1D9B9" w:rsidR="00AB275A" w:rsidRPr="00A2626A" w:rsidRDefault="00AB275A" w:rsidP="00AB275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lastRenderedPageBreak/>
        <w:t>2.4.3.</w:t>
      </w:r>
      <w:r>
        <w:rPr>
          <w:rFonts w:ascii="Verdana" w:hAnsi="Verdana" w:cs="Arial"/>
          <w:bCs/>
          <w:sz w:val="20"/>
          <w:szCs w:val="20"/>
        </w:rPr>
        <w:t>16</w:t>
      </w:r>
      <w:r w:rsidRPr="00A2626A">
        <w:rPr>
          <w:rFonts w:ascii="Verdana" w:hAnsi="Verdana" w:cs="Arial"/>
          <w:bCs/>
          <w:sz w:val="20"/>
          <w:szCs w:val="20"/>
        </w:rPr>
        <w:t>.</w:t>
      </w:r>
    </w:p>
    <w:p w14:paraId="7741BEE5" w14:textId="239F1267"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Para estos efectos, se entiende por beneficiario real lo previsto en el artículo 6.1.1.1.3. del Decreto 2555 de 2010. </w:t>
      </w:r>
    </w:p>
    <w:p w14:paraId="6C930DC1" w14:textId="2C72D35C" w:rsidR="0021350F" w:rsidRPr="007C2015" w:rsidRDefault="0021350F" w:rsidP="007C2015">
      <w:pPr>
        <w:tabs>
          <w:tab w:val="left" w:pos="426"/>
        </w:tabs>
        <w:jc w:val="both"/>
        <w:rPr>
          <w:rFonts w:ascii="Verdana" w:hAnsi="Verdana" w:cs="Arial"/>
          <w:b/>
          <w:bCs/>
          <w:sz w:val="20"/>
          <w:szCs w:val="20"/>
        </w:rPr>
      </w:pPr>
      <w:r w:rsidRPr="007C2015">
        <w:rPr>
          <w:rFonts w:ascii="Verdana" w:hAnsi="Verdana" w:cs="Arial"/>
          <w:b/>
          <w:bCs/>
          <w:sz w:val="20"/>
          <w:szCs w:val="20"/>
        </w:rPr>
        <w:t>Activos gestionados por las AFP que respalden recursos patrimoniales destinados a cubrir riesgos específicos mediante patrimonios autónomos</w:t>
      </w:r>
    </w:p>
    <w:p w14:paraId="49C471BD" w14:textId="56861DD6" w:rsidR="00080BDD" w:rsidRPr="00A2626A" w:rsidRDefault="00080BDD" w:rsidP="00080BDD">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17</w:t>
      </w:r>
      <w:r w:rsidRPr="00A2626A">
        <w:rPr>
          <w:rFonts w:ascii="Verdana" w:hAnsi="Verdana" w:cs="Arial"/>
          <w:bCs/>
          <w:sz w:val="20"/>
          <w:szCs w:val="20"/>
        </w:rPr>
        <w:t>.</w:t>
      </w:r>
    </w:p>
    <w:p w14:paraId="709A572E" w14:textId="062FA577" w:rsidR="0021350F" w:rsidRPr="00923E21" w:rsidRDefault="0021350F" w:rsidP="0021350F">
      <w:pPr>
        <w:jc w:val="both"/>
        <w:rPr>
          <w:rFonts w:ascii="Verdana" w:hAnsi="Verdana" w:cs="Arial"/>
          <w:sz w:val="20"/>
          <w:szCs w:val="20"/>
        </w:rPr>
      </w:pPr>
      <w:r w:rsidRPr="00923E21">
        <w:rPr>
          <w:rFonts w:ascii="Verdana" w:hAnsi="Verdana" w:cs="Arial"/>
          <w:sz w:val="20"/>
          <w:szCs w:val="20"/>
        </w:rPr>
        <w:t>Las AFP deben deducir del PB el valor de los activos destinados a la cobertura de los riesgos sobrevinientes específicos relativos a la operación del negocio. El valor de la deducción corresponderá al saldo del mecanismo constituido para cubrir dichos riesgos con recursos propios de la AFP, según la instrucción que imparta la SFC para cada caso en particular. Sin perjuicio de lo anterior, se exceptúa de esta deducción el valor de los patrimonios autónomos que se constituyan para amparar las posibles desviaciones en la cobertura de riesgos a las que se refiere</w:t>
      </w:r>
      <w:r w:rsidR="00F93D7B">
        <w:rPr>
          <w:rFonts w:ascii="Verdana" w:hAnsi="Verdana" w:cs="Arial"/>
          <w:sz w:val="20"/>
          <w:szCs w:val="20"/>
        </w:rPr>
        <w:t>n los párrafos 2.4.3.28. al 2.4.3.54.</w:t>
      </w:r>
      <w:r w:rsidRPr="00923E21">
        <w:rPr>
          <w:rFonts w:ascii="Verdana" w:hAnsi="Verdana" w:cs="Arial"/>
          <w:sz w:val="20"/>
          <w:szCs w:val="20"/>
        </w:rPr>
        <w:t>, referente a la ponderación de las inversiones en fondos o patrimonios autónomos en el cálculo de los activos ponderados por nivel de riesgo.</w:t>
      </w:r>
    </w:p>
    <w:p w14:paraId="6C0F7246" w14:textId="3ADB441B" w:rsidR="0021350F" w:rsidRPr="007C2015" w:rsidRDefault="00F8705E" w:rsidP="007C2015">
      <w:pPr>
        <w:spacing w:after="0" w:line="240" w:lineRule="auto"/>
        <w:jc w:val="both"/>
        <w:outlineLvl w:val="2"/>
        <w:rPr>
          <w:rFonts w:ascii="Verdana" w:hAnsi="Verdana" w:cs="Arial"/>
          <w:sz w:val="20"/>
          <w:szCs w:val="20"/>
        </w:rPr>
      </w:pPr>
      <w:r w:rsidRPr="007C2015">
        <w:rPr>
          <w:rFonts w:ascii="Verdana" w:hAnsi="Verdana" w:cs="Arial"/>
          <w:b/>
          <w:bCs/>
          <w:sz w:val="20"/>
          <w:szCs w:val="20"/>
        </w:rPr>
        <w:t xml:space="preserve">CLASIFICACIÓN Y PONDERACIÓN DE LOS ACTIVOS, EXPOSICIONES Y CONTINGENCIAS PARA RIESGO DE CRÉDITO DE LAS AFP </w:t>
      </w:r>
      <w:r>
        <w:rPr>
          <w:rFonts w:ascii="Verdana" w:hAnsi="Verdana" w:cs="Arial"/>
          <w:b/>
          <w:bCs/>
          <w:sz w:val="20"/>
          <w:szCs w:val="20"/>
        </w:rPr>
        <w:t>(</w:t>
      </w:r>
      <w:r w:rsidRPr="007C2015">
        <w:rPr>
          <w:rFonts w:ascii="Verdana" w:hAnsi="Verdana" w:cs="Arial"/>
          <w:b/>
          <w:bCs/>
          <w:sz w:val="20"/>
          <w:szCs w:val="20"/>
        </w:rPr>
        <w:t>APNR</w:t>
      </w:r>
      <w:r>
        <w:rPr>
          <w:rFonts w:ascii="Verdana" w:hAnsi="Verdana" w:cs="Arial"/>
          <w:b/>
          <w:bCs/>
          <w:sz w:val="20"/>
          <w:szCs w:val="20"/>
        </w:rPr>
        <w:t>)</w:t>
      </w:r>
    </w:p>
    <w:p w14:paraId="0AFC4D06" w14:textId="77777777" w:rsidR="00F8705E" w:rsidRDefault="00F8705E" w:rsidP="00080BDD">
      <w:pPr>
        <w:tabs>
          <w:tab w:val="left" w:pos="540"/>
        </w:tabs>
        <w:spacing w:after="0" w:line="240" w:lineRule="auto"/>
        <w:jc w:val="both"/>
        <w:rPr>
          <w:rFonts w:ascii="Verdana" w:hAnsi="Verdana" w:cs="Arial"/>
          <w:sz w:val="20"/>
          <w:szCs w:val="20"/>
        </w:rPr>
      </w:pPr>
    </w:p>
    <w:p w14:paraId="72337BB2" w14:textId="7D323A87" w:rsidR="00080BDD" w:rsidRPr="00A2626A" w:rsidRDefault="00080BDD" w:rsidP="00080BDD">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18</w:t>
      </w:r>
      <w:r w:rsidRPr="00A2626A">
        <w:rPr>
          <w:rFonts w:ascii="Verdana" w:hAnsi="Verdana" w:cs="Arial"/>
          <w:bCs/>
          <w:sz w:val="20"/>
          <w:szCs w:val="20"/>
        </w:rPr>
        <w:t>.</w:t>
      </w:r>
    </w:p>
    <w:p w14:paraId="3AF95572"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destinatarias de la presente instrucción deben contar con políticas, procesos, sistemas y controles internos eficaces para garantizar una adecuada clasificación y ponderación de los APNR, de acuerdo con el riesgo de cada contraparte y/o activo.</w:t>
      </w:r>
    </w:p>
    <w:p w14:paraId="10668DA6" w14:textId="54217343" w:rsidR="00080BDD" w:rsidRPr="00A2626A" w:rsidRDefault="00080BDD" w:rsidP="00080BDD">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19</w:t>
      </w:r>
      <w:r w:rsidRPr="00A2626A">
        <w:rPr>
          <w:rFonts w:ascii="Verdana" w:hAnsi="Verdana" w:cs="Arial"/>
          <w:bCs/>
          <w:sz w:val="20"/>
          <w:szCs w:val="20"/>
        </w:rPr>
        <w:t>.</w:t>
      </w:r>
    </w:p>
    <w:p w14:paraId="32EC7FAD" w14:textId="36A7C93B" w:rsidR="0021350F" w:rsidRPr="00923E21" w:rsidRDefault="0021350F" w:rsidP="0050A195">
      <w:pPr>
        <w:jc w:val="both"/>
        <w:rPr>
          <w:rFonts w:ascii="Verdana" w:hAnsi="Verdana" w:cs="Arial"/>
          <w:sz w:val="20"/>
          <w:szCs w:val="20"/>
        </w:rPr>
      </w:pPr>
      <w:r w:rsidRPr="0050A195">
        <w:rPr>
          <w:rFonts w:ascii="Verdana" w:hAnsi="Verdana" w:cs="Arial"/>
          <w:sz w:val="20"/>
          <w:szCs w:val="20"/>
        </w:rPr>
        <w:t xml:space="preserve">Para la adecuada clasificación y ponderación de los APNR en sus respectivas categorías tanto en moneda </w:t>
      </w:r>
      <w:r w:rsidRPr="00A41CC6">
        <w:rPr>
          <w:rFonts w:ascii="Verdana" w:hAnsi="Verdana" w:cs="Arial"/>
          <w:sz w:val="20"/>
          <w:szCs w:val="20"/>
        </w:rPr>
        <w:t>nacional como extranjera, las entidades deben tener en cuenta las instrucciones de</w:t>
      </w:r>
      <w:r w:rsidR="00A41CC6" w:rsidRPr="00A41CC6">
        <w:rPr>
          <w:rFonts w:ascii="Verdana" w:hAnsi="Verdana" w:cs="Arial"/>
          <w:sz w:val="20"/>
          <w:szCs w:val="20"/>
        </w:rPr>
        <w:t xml:space="preserve"> </w:t>
      </w:r>
      <w:r w:rsidRPr="00A41CC6">
        <w:rPr>
          <w:rFonts w:ascii="Verdana" w:hAnsi="Verdana" w:cs="Arial"/>
          <w:sz w:val="20"/>
          <w:szCs w:val="20"/>
        </w:rPr>
        <w:t>l</w:t>
      </w:r>
      <w:r w:rsidR="00A41CC6" w:rsidRPr="00A41CC6">
        <w:rPr>
          <w:rFonts w:ascii="Verdana" w:hAnsi="Verdana" w:cs="Arial"/>
          <w:sz w:val="20"/>
          <w:szCs w:val="20"/>
        </w:rPr>
        <w:t>a</w:t>
      </w:r>
      <w:r w:rsidRPr="00A41CC6">
        <w:rPr>
          <w:rFonts w:ascii="Verdana" w:hAnsi="Verdana" w:cs="Arial"/>
          <w:sz w:val="20"/>
          <w:szCs w:val="20"/>
        </w:rPr>
        <w:t xml:space="preserve"> proforma F.6000-39</w:t>
      </w:r>
      <w:r w:rsidRPr="0050A195">
        <w:rPr>
          <w:rFonts w:ascii="Verdana" w:hAnsi="Verdana" w:cs="Arial"/>
          <w:sz w:val="20"/>
          <w:szCs w:val="20"/>
        </w:rPr>
        <w:t xml:space="preserve"> (Formato 421) “Declaración del Control de Ley relación Mínima de Solvencia - Sociedades Administradoras de Fondos de Pensiones y de Cesantías” y las que demás que se señalan a continuación:</w:t>
      </w:r>
    </w:p>
    <w:p w14:paraId="0C1D2444" w14:textId="22198CD8" w:rsidR="0021350F" w:rsidRPr="007C2015" w:rsidRDefault="0021350F" w:rsidP="007C2015">
      <w:pPr>
        <w:tabs>
          <w:tab w:val="left" w:pos="284"/>
          <w:tab w:val="left" w:pos="567"/>
        </w:tabs>
        <w:spacing w:line="240" w:lineRule="atLeast"/>
        <w:jc w:val="both"/>
        <w:rPr>
          <w:rFonts w:ascii="Verdana" w:hAnsi="Verdana" w:cs="Arial"/>
          <w:b/>
          <w:bCs/>
          <w:sz w:val="20"/>
          <w:szCs w:val="20"/>
        </w:rPr>
      </w:pPr>
      <w:r w:rsidRPr="007C2015">
        <w:rPr>
          <w:rFonts w:ascii="Verdana" w:hAnsi="Verdana" w:cs="Arial"/>
          <w:b/>
          <w:bCs/>
          <w:sz w:val="20"/>
          <w:szCs w:val="20"/>
        </w:rPr>
        <w:t>Activos con ponderación del 0%</w:t>
      </w:r>
    </w:p>
    <w:p w14:paraId="3A2AB476" w14:textId="5E673FFF" w:rsidR="0021350F" w:rsidRPr="00601BDD" w:rsidRDefault="0021350F" w:rsidP="00601BDD">
      <w:pPr>
        <w:pStyle w:val="Prrafodelista"/>
        <w:numPr>
          <w:ilvl w:val="0"/>
          <w:numId w:val="21"/>
        </w:numPr>
        <w:spacing w:line="240" w:lineRule="atLeast"/>
        <w:ind w:left="284" w:hanging="284"/>
        <w:jc w:val="both"/>
        <w:rPr>
          <w:rFonts w:ascii="Verdana" w:hAnsi="Verdana" w:cs="Arial"/>
          <w:b/>
          <w:bCs/>
          <w:sz w:val="20"/>
          <w:szCs w:val="20"/>
        </w:rPr>
      </w:pPr>
      <w:r w:rsidRPr="00601BDD">
        <w:rPr>
          <w:rFonts w:ascii="Verdana" w:hAnsi="Verdana" w:cs="Arial"/>
          <w:b/>
          <w:bCs/>
          <w:sz w:val="20"/>
          <w:szCs w:val="20"/>
        </w:rPr>
        <w:t>Requisitos para que los activos con “otras agencias y organismos multilaterales” y “otros activos” que la SFC clasifique en la ponderación del 0%</w:t>
      </w:r>
    </w:p>
    <w:p w14:paraId="224FA0D7" w14:textId="6B4A7854" w:rsidR="00080BDD" w:rsidRPr="00A2626A" w:rsidRDefault="00080BDD" w:rsidP="00080BDD">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20</w:t>
      </w:r>
      <w:r w:rsidRPr="00A2626A">
        <w:rPr>
          <w:rFonts w:ascii="Verdana" w:hAnsi="Verdana" w:cs="Arial"/>
          <w:bCs/>
          <w:sz w:val="20"/>
          <w:szCs w:val="20"/>
        </w:rPr>
        <w:t>.</w:t>
      </w:r>
    </w:p>
    <w:p w14:paraId="7C114AF7"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Para efectos de lo dispuesto en los numerales 1.4 y 1.7 del artículo 2.6.1.1.10 del Decreto 2555 de 2010, las entidades vigiladas deben presentar para no objeción de la SFC los otros organismos, agencias y vehículos de inversión y los otros activos que determinen que pueden clasificarse como “activos con porcentaje de ponderación del 0%”, a fin de que los activos, exposiciones y contingencias sujetos a riesgo de crédito puedan ponderar en dicha categoría del 0%.</w:t>
      </w:r>
    </w:p>
    <w:p w14:paraId="5A2CD8FA" w14:textId="0692FAB5"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21</w:t>
      </w:r>
      <w:r w:rsidRPr="00A2626A">
        <w:rPr>
          <w:rFonts w:ascii="Verdana" w:hAnsi="Verdana" w:cs="Arial"/>
          <w:bCs/>
          <w:sz w:val="20"/>
          <w:szCs w:val="20"/>
        </w:rPr>
        <w:t>.</w:t>
      </w:r>
    </w:p>
    <w:p w14:paraId="70A7D17E" w14:textId="77777777" w:rsidR="004A7351" w:rsidRDefault="0021350F" w:rsidP="004A7351">
      <w:pPr>
        <w:jc w:val="both"/>
        <w:rPr>
          <w:rFonts w:ascii="Verdana" w:hAnsi="Verdana" w:cs="Arial"/>
          <w:sz w:val="20"/>
          <w:szCs w:val="20"/>
        </w:rPr>
      </w:pPr>
      <w:r w:rsidRPr="00923E21">
        <w:rPr>
          <w:rFonts w:ascii="Verdana" w:hAnsi="Verdana" w:cs="Arial"/>
          <w:sz w:val="20"/>
          <w:szCs w:val="20"/>
        </w:rPr>
        <w:t>Los organismos, agencias y vehículos de inversión, así como las contrapartes que garanticen o avalen activos, exposiciones o contingencias, para poder ponderar en la categoría del 0% deben cumplir con altos estándares de calificación, respaldo patrimonial y liquidez, conforme a los siguientes parámetros:</w:t>
      </w:r>
    </w:p>
    <w:p w14:paraId="56416ABD" w14:textId="77777777" w:rsidR="00C70712" w:rsidRDefault="0021350F" w:rsidP="00C70712">
      <w:pPr>
        <w:pStyle w:val="Prrafodelista"/>
        <w:numPr>
          <w:ilvl w:val="0"/>
          <w:numId w:val="22"/>
        </w:numPr>
        <w:ind w:left="567" w:hanging="567"/>
        <w:jc w:val="both"/>
        <w:rPr>
          <w:rFonts w:ascii="Verdana" w:hAnsi="Verdana" w:cs="Arial"/>
          <w:sz w:val="20"/>
          <w:szCs w:val="20"/>
        </w:rPr>
      </w:pPr>
      <w:r w:rsidRPr="004A7351">
        <w:rPr>
          <w:rFonts w:ascii="Verdana" w:hAnsi="Verdana" w:cs="Arial"/>
          <w:sz w:val="20"/>
          <w:szCs w:val="20"/>
        </w:rPr>
        <w:t>Tener una calificación externa AAA en escala internacional al momento de la solicitud. En todo caso, los organismos, agencias, vehículos de inversión y las demás contrapartes, que sean no objetados por la SFC no podrán tener una calificación posterior por debajo de AA- para que puedan ponderar al 0%. Cuando el deterioro de la calificación sea superior a esta última, dichas entidades estarán sujetas al tratamiento descrito en el numeral 6 del artículo 2.6.1.1.10. del Decreto 2555 de 2010, o a la categoría correspondiente a la respectiva contraparte, si se trata de una contraparte diferente a las listadas en el numeral 6 antes citado.</w:t>
      </w:r>
    </w:p>
    <w:p w14:paraId="345A26B6" w14:textId="77777777" w:rsidR="00C70712" w:rsidRDefault="00C70712" w:rsidP="00C70712">
      <w:pPr>
        <w:pStyle w:val="Prrafodelista"/>
        <w:ind w:left="567"/>
        <w:jc w:val="both"/>
        <w:rPr>
          <w:rFonts w:ascii="Verdana" w:hAnsi="Verdana" w:cs="Arial"/>
          <w:sz w:val="20"/>
          <w:szCs w:val="20"/>
        </w:rPr>
      </w:pPr>
    </w:p>
    <w:p w14:paraId="788178DB" w14:textId="26A8CA00" w:rsidR="0021350F" w:rsidRPr="00C70712" w:rsidRDefault="0021350F" w:rsidP="00C70712">
      <w:pPr>
        <w:pStyle w:val="Prrafodelista"/>
        <w:numPr>
          <w:ilvl w:val="0"/>
          <w:numId w:val="22"/>
        </w:numPr>
        <w:ind w:left="567" w:hanging="567"/>
        <w:jc w:val="both"/>
        <w:rPr>
          <w:rFonts w:ascii="Verdana" w:hAnsi="Verdana" w:cs="Arial"/>
          <w:sz w:val="20"/>
          <w:szCs w:val="20"/>
        </w:rPr>
      </w:pPr>
      <w:r w:rsidRPr="00C70712">
        <w:rPr>
          <w:rFonts w:ascii="Verdana" w:hAnsi="Verdana" w:cs="Arial"/>
          <w:sz w:val="20"/>
          <w:szCs w:val="20"/>
        </w:rPr>
        <w:t xml:space="preserve">Contar con niveles suficientes de capital y liquidez. En relación con el capital se deben tener en cuenta los niveles de capital de la entidad frente a los riesgos a los cuales está expuesta y la relación de apalancamiento, así como el volumen de capital desembolsado por los accionistas y la frecuencia y cumplimiento de los compromisos de aportes por parte de los accionistas soberanos. En cuanto a la </w:t>
      </w:r>
      <w:r w:rsidRPr="00C70712">
        <w:rPr>
          <w:rFonts w:ascii="Verdana" w:hAnsi="Verdana" w:cs="Arial"/>
          <w:sz w:val="20"/>
          <w:szCs w:val="20"/>
        </w:rPr>
        <w:lastRenderedPageBreak/>
        <w:t>liquidez, se debe analizar su capacidad para manejar los requerimientos de liquidez en condiciones económicas y de mercado adversas.</w:t>
      </w:r>
    </w:p>
    <w:p w14:paraId="4FA89B0A" w14:textId="3BD79612"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22</w:t>
      </w:r>
      <w:r w:rsidRPr="00A2626A">
        <w:rPr>
          <w:rFonts w:ascii="Verdana" w:hAnsi="Verdana" w:cs="Arial"/>
          <w:bCs/>
          <w:sz w:val="20"/>
          <w:szCs w:val="20"/>
        </w:rPr>
        <w:t>.</w:t>
      </w:r>
    </w:p>
    <w:p w14:paraId="019584DB" w14:textId="77777777" w:rsidR="0021350F" w:rsidRPr="00923E21" w:rsidRDefault="0021350F" w:rsidP="0050A195">
      <w:pPr>
        <w:pStyle w:val="Prrafodelista"/>
        <w:ind w:left="0"/>
        <w:jc w:val="both"/>
        <w:rPr>
          <w:rFonts w:ascii="Verdana" w:hAnsi="Verdana" w:cs="Arial"/>
          <w:sz w:val="20"/>
          <w:szCs w:val="20"/>
        </w:rPr>
      </w:pPr>
      <w:r w:rsidRPr="0050A195">
        <w:rPr>
          <w:rFonts w:ascii="Verdana" w:hAnsi="Verdana" w:cs="Arial"/>
          <w:sz w:val="20"/>
          <w:szCs w:val="20"/>
        </w:rPr>
        <w:t>Para cumplir con el requisito anterior se debe evaluar: (i) que las fuentes de fondeo sean lo suficientemente estables en relación con la composición y las características de riesgo de liquidez de sus activos; y (ii) que la entidad cuente con activos líquidos suficientes para cumplir con sus requerimientos de liquidez contractuales y no contractuales.</w:t>
      </w:r>
    </w:p>
    <w:p w14:paraId="73832778" w14:textId="77777777" w:rsidR="00FF0E56" w:rsidRDefault="00FF0E56" w:rsidP="00FF0E56">
      <w:pPr>
        <w:pStyle w:val="Prrafodelista"/>
        <w:tabs>
          <w:tab w:val="left" w:pos="284"/>
          <w:tab w:val="left" w:pos="1701"/>
        </w:tabs>
        <w:spacing w:line="240" w:lineRule="atLeast"/>
        <w:ind w:left="284"/>
        <w:jc w:val="both"/>
        <w:rPr>
          <w:rFonts w:ascii="Verdana" w:hAnsi="Verdana" w:cs="Arial"/>
          <w:b/>
          <w:color w:val="000000"/>
          <w:sz w:val="20"/>
          <w:szCs w:val="20"/>
        </w:rPr>
      </w:pPr>
    </w:p>
    <w:p w14:paraId="56C9DB7D" w14:textId="0A44266F" w:rsidR="0021350F" w:rsidRPr="00FF0E56" w:rsidRDefault="0021350F" w:rsidP="00FF0E56">
      <w:pPr>
        <w:pStyle w:val="Prrafodelista"/>
        <w:numPr>
          <w:ilvl w:val="0"/>
          <w:numId w:val="21"/>
        </w:numPr>
        <w:tabs>
          <w:tab w:val="left" w:pos="284"/>
          <w:tab w:val="left" w:pos="1701"/>
        </w:tabs>
        <w:spacing w:line="240" w:lineRule="atLeast"/>
        <w:ind w:left="284" w:hanging="284"/>
        <w:jc w:val="both"/>
        <w:rPr>
          <w:rFonts w:ascii="Verdana" w:hAnsi="Verdana" w:cs="Arial"/>
          <w:b/>
          <w:color w:val="000000"/>
          <w:sz w:val="20"/>
          <w:szCs w:val="20"/>
        </w:rPr>
      </w:pPr>
      <w:r w:rsidRPr="00FF0E56">
        <w:rPr>
          <w:rFonts w:ascii="Verdana" w:hAnsi="Verdana" w:cs="Arial"/>
          <w:b/>
          <w:color w:val="000000"/>
          <w:sz w:val="20"/>
          <w:szCs w:val="20"/>
        </w:rPr>
        <w:t>Entidades de contrapartida central (ECC) extranjeras reconocidas como equivalentes por la SFC</w:t>
      </w:r>
    </w:p>
    <w:p w14:paraId="1025C937" w14:textId="1944A485"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23</w:t>
      </w:r>
      <w:r w:rsidRPr="00A2626A">
        <w:rPr>
          <w:rFonts w:ascii="Verdana" w:hAnsi="Verdana" w:cs="Arial"/>
          <w:bCs/>
          <w:sz w:val="20"/>
          <w:szCs w:val="20"/>
        </w:rPr>
        <w:t>.</w:t>
      </w:r>
    </w:p>
    <w:p w14:paraId="36D0B1CD" w14:textId="77777777" w:rsidR="0021350F" w:rsidRPr="00923E21" w:rsidRDefault="0021350F" w:rsidP="0050A195">
      <w:pPr>
        <w:jc w:val="both"/>
        <w:rPr>
          <w:rFonts w:ascii="Verdana" w:hAnsi="Verdana" w:cs="Arial"/>
          <w:color w:val="000000"/>
          <w:sz w:val="20"/>
          <w:szCs w:val="20"/>
        </w:rPr>
      </w:pPr>
      <w:r w:rsidRPr="0050A195">
        <w:rPr>
          <w:rFonts w:ascii="Verdana" w:hAnsi="Verdana" w:cs="Arial"/>
          <w:color w:val="000000" w:themeColor="text1"/>
          <w:sz w:val="20"/>
          <w:szCs w:val="20"/>
        </w:rPr>
        <w:t>Se debe asignar una ponderación de 0% a la exposición por riesgo de crédito de contraparte en las operaciones aceptadas por una ECC extranjera reconocida como equivalente por la SFC y a la exposición de riesgo de crédito de contraparte de las garantías otorgadas a una ECC extranjera reconocida como equivalente por la SFC. Lo anterior, de conformidad con el listado publicado en la página web de la SFC.</w:t>
      </w:r>
    </w:p>
    <w:p w14:paraId="1BB0E24A" w14:textId="1CFEC78F" w:rsidR="0021350F" w:rsidRPr="00E33C58" w:rsidRDefault="0021350F" w:rsidP="00E33C58">
      <w:pPr>
        <w:tabs>
          <w:tab w:val="left" w:pos="284"/>
          <w:tab w:val="left" w:pos="567"/>
        </w:tabs>
        <w:spacing w:line="240" w:lineRule="atLeast"/>
        <w:jc w:val="both"/>
        <w:rPr>
          <w:rFonts w:ascii="Verdana" w:hAnsi="Verdana" w:cs="Arial"/>
          <w:b/>
          <w:bCs/>
          <w:sz w:val="20"/>
          <w:szCs w:val="20"/>
        </w:rPr>
      </w:pPr>
      <w:r w:rsidRPr="00E33C58">
        <w:rPr>
          <w:rFonts w:ascii="Verdana" w:hAnsi="Verdana" w:cs="Arial"/>
          <w:b/>
          <w:bCs/>
          <w:sz w:val="20"/>
          <w:szCs w:val="20"/>
        </w:rPr>
        <w:t>Ponderación inversiones en acciones</w:t>
      </w:r>
    </w:p>
    <w:p w14:paraId="79684F1D" w14:textId="4ACA774E"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24</w:t>
      </w:r>
      <w:r w:rsidRPr="00A2626A">
        <w:rPr>
          <w:rFonts w:ascii="Verdana" w:hAnsi="Verdana" w:cs="Arial"/>
          <w:bCs/>
          <w:sz w:val="20"/>
          <w:szCs w:val="20"/>
        </w:rPr>
        <w:t>.</w:t>
      </w:r>
    </w:p>
    <w:p w14:paraId="71BABDF2" w14:textId="1B400117"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De conformidad con los numerales 2.2, 3.1, y 4.5 del </w:t>
      </w:r>
      <w:r w:rsidR="00CE2402">
        <w:rPr>
          <w:rFonts w:ascii="Verdana" w:hAnsi="Verdana" w:cs="Arial"/>
          <w:sz w:val="20"/>
          <w:szCs w:val="20"/>
        </w:rPr>
        <w:t>a</w:t>
      </w:r>
      <w:r w:rsidRPr="00923E21">
        <w:rPr>
          <w:rFonts w:ascii="Verdana" w:hAnsi="Verdana" w:cs="Arial"/>
          <w:sz w:val="20"/>
          <w:szCs w:val="20"/>
        </w:rPr>
        <w:t>rtículo 2.6.1.1.10 del Decreto 2555 de 2010, las inversiones en acciones deben ponderar de acuerdo con las siguientes instrucciones:</w:t>
      </w:r>
    </w:p>
    <w:p w14:paraId="79335E43" w14:textId="023250D1" w:rsidR="0021350F" w:rsidRPr="001278F9" w:rsidRDefault="0021350F" w:rsidP="001278F9">
      <w:pPr>
        <w:pStyle w:val="Prrafodelista"/>
        <w:numPr>
          <w:ilvl w:val="0"/>
          <w:numId w:val="21"/>
        </w:numPr>
        <w:tabs>
          <w:tab w:val="left" w:pos="567"/>
        </w:tabs>
        <w:ind w:left="284" w:hanging="284"/>
        <w:jc w:val="both"/>
        <w:rPr>
          <w:rFonts w:ascii="Verdana" w:hAnsi="Verdana" w:cs="Arial"/>
          <w:b/>
          <w:bCs/>
          <w:sz w:val="20"/>
          <w:szCs w:val="20"/>
        </w:rPr>
      </w:pPr>
      <w:r w:rsidRPr="001278F9">
        <w:rPr>
          <w:rFonts w:ascii="Verdana" w:hAnsi="Verdana" w:cs="Arial"/>
          <w:b/>
          <w:bCs/>
          <w:sz w:val="20"/>
          <w:szCs w:val="20"/>
        </w:rPr>
        <w:t>Acciones ponderadas al 20%</w:t>
      </w:r>
    </w:p>
    <w:p w14:paraId="544FC519" w14:textId="7C552C50"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25</w:t>
      </w:r>
      <w:r w:rsidRPr="00A2626A">
        <w:rPr>
          <w:rFonts w:ascii="Verdana" w:hAnsi="Verdana" w:cs="Arial"/>
          <w:bCs/>
          <w:sz w:val="20"/>
          <w:szCs w:val="20"/>
        </w:rPr>
        <w:t>.</w:t>
      </w:r>
    </w:p>
    <w:p w14:paraId="35FE0E9B" w14:textId="79D305F1" w:rsidR="0021350F" w:rsidRPr="00923E21" w:rsidRDefault="0021350F" w:rsidP="0021350F">
      <w:pPr>
        <w:jc w:val="both"/>
        <w:rPr>
          <w:rFonts w:ascii="Verdana" w:hAnsi="Verdana" w:cs="Arial"/>
          <w:sz w:val="20"/>
          <w:szCs w:val="20"/>
        </w:rPr>
      </w:pPr>
      <w:r w:rsidRPr="00923E21">
        <w:rPr>
          <w:rFonts w:ascii="Verdana" w:hAnsi="Verdana" w:cs="Arial"/>
          <w:sz w:val="20"/>
          <w:szCs w:val="20"/>
        </w:rPr>
        <w:t>En virtud del subnumeral 2.2 del artículo 2.6.1.1.10 del Decreto 2555 de 2010 podrán ponderar al 20% las acciones listadas en bolsas de valores o sistemas de negociación de valores cuyos emisores cuenten con altos estándares de gobierno corporativo y mecanismos que garanticen su liquidez. Tales requisitos se materializan a través de los siguientes requisitos:</w:t>
      </w:r>
    </w:p>
    <w:p w14:paraId="7323A74B" w14:textId="77777777" w:rsidR="00185497" w:rsidRDefault="0021350F" w:rsidP="00185497">
      <w:pPr>
        <w:pStyle w:val="Prrafodelista"/>
        <w:numPr>
          <w:ilvl w:val="0"/>
          <w:numId w:val="23"/>
        </w:numPr>
        <w:spacing w:after="0" w:line="240" w:lineRule="auto"/>
        <w:ind w:left="567" w:hanging="567"/>
        <w:jc w:val="both"/>
        <w:rPr>
          <w:rFonts w:ascii="Verdana" w:hAnsi="Verdana" w:cs="Arial"/>
          <w:sz w:val="20"/>
          <w:szCs w:val="20"/>
        </w:rPr>
      </w:pPr>
      <w:r w:rsidRPr="00185497">
        <w:rPr>
          <w:rFonts w:ascii="Verdana" w:hAnsi="Verdana" w:cs="Arial"/>
          <w:sz w:val="20"/>
          <w:szCs w:val="20"/>
        </w:rPr>
        <w:t>Cuando un emisor de acciones local cumpla y revele al mercado la adopción de la totalidad de las medidas definidas en el código de mejores prácticas corporativas (Código País) y cuente con programas de formadores de liquidez del mercado de valores.</w:t>
      </w:r>
    </w:p>
    <w:p w14:paraId="386E3CE9" w14:textId="77777777" w:rsidR="00185497" w:rsidRDefault="00185497" w:rsidP="00185497">
      <w:pPr>
        <w:pStyle w:val="Prrafodelista"/>
        <w:spacing w:after="0" w:line="240" w:lineRule="auto"/>
        <w:ind w:left="567"/>
        <w:jc w:val="both"/>
        <w:rPr>
          <w:rFonts w:ascii="Verdana" w:hAnsi="Verdana" w:cs="Arial"/>
          <w:sz w:val="20"/>
          <w:szCs w:val="20"/>
        </w:rPr>
      </w:pPr>
    </w:p>
    <w:p w14:paraId="149C8EE9" w14:textId="23D9CE46" w:rsidR="00185497" w:rsidRDefault="0021350F" w:rsidP="00185497">
      <w:pPr>
        <w:pStyle w:val="Prrafodelista"/>
        <w:numPr>
          <w:ilvl w:val="0"/>
          <w:numId w:val="23"/>
        </w:numPr>
        <w:spacing w:after="0" w:line="240" w:lineRule="auto"/>
        <w:ind w:left="567" w:hanging="567"/>
        <w:jc w:val="both"/>
        <w:rPr>
          <w:rFonts w:ascii="Verdana" w:hAnsi="Verdana" w:cs="Arial"/>
          <w:sz w:val="20"/>
          <w:szCs w:val="20"/>
        </w:rPr>
      </w:pPr>
      <w:r w:rsidRPr="00185497">
        <w:rPr>
          <w:rFonts w:ascii="Verdana" w:hAnsi="Verdana" w:cs="Arial"/>
          <w:sz w:val="20"/>
          <w:szCs w:val="20"/>
        </w:rPr>
        <w:t>Cuando</w:t>
      </w:r>
      <w:r w:rsidRPr="00185497" w:rsidDel="002F43C0">
        <w:rPr>
          <w:rFonts w:ascii="Verdana" w:hAnsi="Verdana" w:cs="Arial"/>
          <w:sz w:val="20"/>
          <w:szCs w:val="20"/>
        </w:rPr>
        <w:t xml:space="preserve"> </w:t>
      </w:r>
      <w:r w:rsidRPr="00185497">
        <w:rPr>
          <w:rFonts w:ascii="Verdana" w:hAnsi="Verdana" w:cs="Arial"/>
          <w:sz w:val="20"/>
          <w:szCs w:val="20"/>
        </w:rPr>
        <w:t xml:space="preserve">los emisores de acciones extranjeras listadas en sistemas de cotización de valores del extranjero cumplan con la totalidad de los requisitos de gobierno corporativo y cuenten con programas de formadores de liquidez del mercado de valores, en condiciones por lo menos similares a los requisitos del mercado local, señalados en el </w:t>
      </w:r>
      <w:r w:rsidR="005931D9">
        <w:rPr>
          <w:rFonts w:ascii="Verdana" w:hAnsi="Verdana" w:cs="Arial"/>
          <w:sz w:val="20"/>
          <w:szCs w:val="20"/>
        </w:rPr>
        <w:t xml:space="preserve">literal (a) anterior. </w:t>
      </w:r>
    </w:p>
    <w:p w14:paraId="552330E6" w14:textId="77777777" w:rsidR="00185497" w:rsidRPr="00185497" w:rsidRDefault="00185497" w:rsidP="00185497">
      <w:pPr>
        <w:pStyle w:val="Prrafodelista"/>
        <w:rPr>
          <w:rFonts w:ascii="Verdana" w:hAnsi="Verdana" w:cs="Arial"/>
          <w:sz w:val="20"/>
          <w:szCs w:val="20"/>
        </w:rPr>
      </w:pPr>
    </w:p>
    <w:p w14:paraId="37BCBFEA" w14:textId="0D938F73" w:rsidR="00185497" w:rsidRDefault="0021350F" w:rsidP="00203A8A">
      <w:pPr>
        <w:pStyle w:val="Prrafodelista"/>
        <w:numPr>
          <w:ilvl w:val="0"/>
          <w:numId w:val="23"/>
        </w:numPr>
        <w:spacing w:after="0" w:line="240" w:lineRule="auto"/>
        <w:ind w:left="567" w:hanging="567"/>
        <w:jc w:val="both"/>
        <w:rPr>
          <w:rFonts w:ascii="Verdana" w:hAnsi="Verdana" w:cs="Arial"/>
          <w:sz w:val="20"/>
          <w:szCs w:val="20"/>
        </w:rPr>
      </w:pPr>
      <w:r w:rsidRPr="00185497">
        <w:rPr>
          <w:rFonts w:ascii="Verdana" w:hAnsi="Verdana" w:cs="Arial"/>
          <w:sz w:val="20"/>
          <w:szCs w:val="20"/>
        </w:rPr>
        <w:t>Como parte de los criterios de gobierno corporativo el emisor que haya realizado emisión de instrumentos de deuda debe contar con calificación de riesgo AAA a AA- otorgada por sociedades calificadoras autorizadas por la SFC o una calificación de riesgo internacional equivalente, acorde con lo previsto en</w:t>
      </w:r>
      <w:r w:rsidR="009137AF">
        <w:rPr>
          <w:rFonts w:ascii="Verdana" w:hAnsi="Verdana" w:cs="Arial"/>
          <w:sz w:val="20"/>
          <w:szCs w:val="20"/>
        </w:rPr>
        <w:t xml:space="preserve"> el párrafo 2.4.3.88. </w:t>
      </w:r>
    </w:p>
    <w:p w14:paraId="110B8D59" w14:textId="77777777" w:rsidR="00203A8A" w:rsidRPr="00203A8A" w:rsidRDefault="00203A8A" w:rsidP="00203A8A">
      <w:pPr>
        <w:spacing w:after="0" w:line="240" w:lineRule="auto"/>
        <w:jc w:val="both"/>
        <w:rPr>
          <w:rFonts w:ascii="Verdana" w:hAnsi="Verdana" w:cs="Arial"/>
          <w:sz w:val="20"/>
          <w:szCs w:val="20"/>
        </w:rPr>
      </w:pPr>
    </w:p>
    <w:p w14:paraId="687B9C44" w14:textId="7002D546" w:rsidR="0021350F" w:rsidRPr="00BF07E8" w:rsidRDefault="0021350F" w:rsidP="00BF07E8">
      <w:pPr>
        <w:pStyle w:val="Prrafodelista"/>
        <w:numPr>
          <w:ilvl w:val="0"/>
          <w:numId w:val="21"/>
        </w:numPr>
        <w:tabs>
          <w:tab w:val="left" w:pos="567"/>
        </w:tabs>
        <w:ind w:left="284" w:hanging="284"/>
        <w:jc w:val="both"/>
        <w:rPr>
          <w:rFonts w:ascii="Verdana" w:hAnsi="Verdana" w:cs="Arial"/>
          <w:b/>
          <w:bCs/>
          <w:sz w:val="20"/>
          <w:szCs w:val="20"/>
        </w:rPr>
      </w:pPr>
      <w:r w:rsidRPr="00BF07E8">
        <w:rPr>
          <w:rFonts w:ascii="Verdana" w:hAnsi="Verdana" w:cs="Arial"/>
          <w:b/>
          <w:bCs/>
          <w:sz w:val="20"/>
          <w:szCs w:val="20"/>
        </w:rPr>
        <w:t>Acciones ponderadas al 30%</w:t>
      </w:r>
    </w:p>
    <w:p w14:paraId="6A91ED46" w14:textId="293528A1"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26</w:t>
      </w:r>
      <w:r w:rsidRPr="00A2626A">
        <w:rPr>
          <w:rFonts w:ascii="Verdana" w:hAnsi="Verdana" w:cs="Arial"/>
          <w:bCs/>
          <w:sz w:val="20"/>
          <w:szCs w:val="20"/>
        </w:rPr>
        <w:t>.</w:t>
      </w:r>
    </w:p>
    <w:p w14:paraId="0F636B15" w14:textId="4996DBCE" w:rsidR="0021350F" w:rsidRPr="00923E21" w:rsidRDefault="0021350F" w:rsidP="0050A195">
      <w:pPr>
        <w:pStyle w:val="Prrafodelista"/>
        <w:ind w:left="0"/>
        <w:jc w:val="both"/>
        <w:rPr>
          <w:rFonts w:ascii="Verdana" w:hAnsi="Verdana" w:cs="Arial"/>
          <w:sz w:val="20"/>
          <w:szCs w:val="20"/>
        </w:rPr>
      </w:pPr>
      <w:r w:rsidRPr="0050A195">
        <w:rPr>
          <w:rFonts w:ascii="Verdana" w:hAnsi="Verdana" w:cs="Arial"/>
          <w:sz w:val="20"/>
          <w:szCs w:val="20"/>
        </w:rPr>
        <w:t xml:space="preserve">En virtud del parágrafo 8 del artículo 2.6.1.1.10 del Decreto 2555 de 2010 podrán ponderar al 30% las acciones listadas en bolsas de valores o sistemas de negociación de valores de las entidades vigiladas, fondos mutuos de inversión controlados por la SFC o una entidad financiera del exterior que cumplan por lo menos con el 80% de los requisitos de Código País y tengan programas de formadores de liquidez del mercado de valores y cuando cuenten con emisión de instrumentos de deuda cuya calificación de riesgo se encuentre entre A+ a </w:t>
      </w:r>
      <w:proofErr w:type="spellStart"/>
      <w:r w:rsidRPr="0050A195">
        <w:rPr>
          <w:rFonts w:ascii="Verdana" w:hAnsi="Verdana" w:cs="Arial"/>
          <w:sz w:val="20"/>
          <w:szCs w:val="20"/>
        </w:rPr>
        <w:t>A</w:t>
      </w:r>
      <w:proofErr w:type="spellEnd"/>
      <w:r w:rsidRPr="0050A195">
        <w:rPr>
          <w:rFonts w:ascii="Verdana" w:hAnsi="Verdana" w:cs="Arial"/>
          <w:sz w:val="20"/>
          <w:szCs w:val="20"/>
        </w:rPr>
        <w:t xml:space="preserve">- otorgada por parte de una sociedad calificadora autorizada por la SFC o una calificación de riesgo internacional equivalente, acorde con lo previsto en el </w:t>
      </w:r>
      <w:r w:rsidR="009137AF">
        <w:rPr>
          <w:rFonts w:ascii="Verdana" w:hAnsi="Verdana" w:cs="Arial"/>
          <w:sz w:val="20"/>
          <w:szCs w:val="20"/>
        </w:rPr>
        <w:t>párrafo 2.4.3.88.</w:t>
      </w:r>
    </w:p>
    <w:p w14:paraId="1964DFD7" w14:textId="77777777" w:rsidR="00BF07E8" w:rsidRDefault="00BF07E8" w:rsidP="00BF07E8">
      <w:pPr>
        <w:pStyle w:val="Prrafodelista"/>
        <w:tabs>
          <w:tab w:val="left" w:pos="567"/>
        </w:tabs>
        <w:jc w:val="both"/>
        <w:rPr>
          <w:rFonts w:ascii="Verdana" w:hAnsi="Verdana" w:cs="Arial"/>
          <w:b/>
          <w:bCs/>
          <w:sz w:val="20"/>
          <w:szCs w:val="20"/>
        </w:rPr>
      </w:pPr>
    </w:p>
    <w:p w14:paraId="1AF12BA7" w14:textId="172FA1F5" w:rsidR="0021350F" w:rsidRPr="00BF07E8" w:rsidRDefault="0021350F" w:rsidP="00BF07E8">
      <w:pPr>
        <w:pStyle w:val="Prrafodelista"/>
        <w:numPr>
          <w:ilvl w:val="0"/>
          <w:numId w:val="21"/>
        </w:numPr>
        <w:tabs>
          <w:tab w:val="left" w:pos="567"/>
        </w:tabs>
        <w:ind w:left="284" w:hanging="284"/>
        <w:jc w:val="both"/>
        <w:rPr>
          <w:rFonts w:ascii="Verdana" w:hAnsi="Verdana" w:cs="Arial"/>
          <w:b/>
          <w:bCs/>
          <w:sz w:val="20"/>
          <w:szCs w:val="20"/>
        </w:rPr>
      </w:pPr>
      <w:r w:rsidRPr="00BF07E8">
        <w:rPr>
          <w:rFonts w:ascii="Verdana" w:hAnsi="Verdana" w:cs="Arial"/>
          <w:b/>
          <w:bCs/>
          <w:sz w:val="20"/>
          <w:szCs w:val="20"/>
        </w:rPr>
        <w:t>Acciones ponderadas al 50%</w:t>
      </w:r>
    </w:p>
    <w:p w14:paraId="77648386" w14:textId="0D09833B"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27</w:t>
      </w:r>
      <w:r w:rsidRPr="00A2626A">
        <w:rPr>
          <w:rFonts w:ascii="Verdana" w:hAnsi="Verdana" w:cs="Arial"/>
          <w:bCs/>
          <w:sz w:val="20"/>
          <w:szCs w:val="20"/>
        </w:rPr>
        <w:t>.</w:t>
      </w:r>
    </w:p>
    <w:p w14:paraId="5F3F7B47" w14:textId="249A9907" w:rsidR="0021350F" w:rsidRPr="00923E21" w:rsidRDefault="0021350F" w:rsidP="0050A195">
      <w:pPr>
        <w:jc w:val="both"/>
        <w:rPr>
          <w:rFonts w:ascii="Verdana" w:hAnsi="Verdana" w:cs="Arial"/>
          <w:sz w:val="20"/>
          <w:szCs w:val="20"/>
        </w:rPr>
      </w:pPr>
      <w:r w:rsidRPr="0050A195">
        <w:rPr>
          <w:rFonts w:ascii="Verdana" w:hAnsi="Verdana" w:cs="Arial"/>
          <w:sz w:val="20"/>
          <w:szCs w:val="20"/>
        </w:rPr>
        <w:t>Las acciones listadas en bolsas de valores o sistemas de negociación de valores que no cumplan con los requisitos señalados en</w:t>
      </w:r>
      <w:r w:rsidR="00906588">
        <w:rPr>
          <w:rFonts w:ascii="Verdana" w:hAnsi="Verdana" w:cs="Arial"/>
          <w:sz w:val="20"/>
          <w:szCs w:val="20"/>
        </w:rPr>
        <w:t xml:space="preserve"> las anteriores instrucciones </w:t>
      </w:r>
      <w:r w:rsidRPr="0050A195">
        <w:rPr>
          <w:rFonts w:ascii="Verdana" w:hAnsi="Verdana" w:cs="Arial"/>
          <w:sz w:val="20"/>
          <w:szCs w:val="20"/>
        </w:rPr>
        <w:t xml:space="preserve">ponderarán al 50%, incluidas las inversiones en acciones de grandes empresas que cuenten con calificación </w:t>
      </w:r>
      <w:r w:rsidRPr="0050A195">
        <w:rPr>
          <w:rFonts w:ascii="Verdana" w:hAnsi="Verdana" w:cs="Arial"/>
          <w:sz w:val="20"/>
          <w:szCs w:val="20"/>
        </w:rPr>
        <w:lastRenderedPageBreak/>
        <w:t xml:space="preserve">de riesgo de A+ a </w:t>
      </w:r>
      <w:proofErr w:type="spellStart"/>
      <w:r w:rsidRPr="0050A195">
        <w:rPr>
          <w:rFonts w:ascii="Verdana" w:hAnsi="Verdana" w:cs="Arial"/>
          <w:sz w:val="20"/>
          <w:szCs w:val="20"/>
        </w:rPr>
        <w:t>A</w:t>
      </w:r>
      <w:proofErr w:type="spellEnd"/>
      <w:r w:rsidRPr="0050A195">
        <w:rPr>
          <w:rFonts w:ascii="Verdana" w:hAnsi="Verdana" w:cs="Arial"/>
          <w:sz w:val="20"/>
          <w:szCs w:val="20"/>
        </w:rPr>
        <w:t>-, de acuerdo con el numeral 8 del artículo 2.6.1.1.10 del Decreto 2555 de 2010.</w:t>
      </w:r>
    </w:p>
    <w:p w14:paraId="0863AD5D" w14:textId="107BD10D" w:rsidR="0021350F" w:rsidRPr="00BF07E8" w:rsidRDefault="0021350F" w:rsidP="00BF07E8">
      <w:pPr>
        <w:pStyle w:val="Prrafodelista"/>
        <w:numPr>
          <w:ilvl w:val="0"/>
          <w:numId w:val="21"/>
        </w:numPr>
        <w:tabs>
          <w:tab w:val="left" w:pos="567"/>
        </w:tabs>
        <w:ind w:left="284" w:hanging="284"/>
        <w:jc w:val="both"/>
        <w:rPr>
          <w:rFonts w:ascii="Verdana" w:hAnsi="Verdana" w:cs="Arial"/>
          <w:b/>
          <w:bCs/>
          <w:sz w:val="20"/>
          <w:szCs w:val="20"/>
        </w:rPr>
      </w:pPr>
      <w:r w:rsidRPr="00BF07E8">
        <w:rPr>
          <w:rFonts w:ascii="Verdana" w:hAnsi="Verdana" w:cs="Arial"/>
          <w:b/>
          <w:bCs/>
          <w:sz w:val="20"/>
          <w:szCs w:val="20"/>
        </w:rPr>
        <w:t>Acciones ponderadas al 100%</w:t>
      </w:r>
    </w:p>
    <w:p w14:paraId="40FC2A3A" w14:textId="2B331BAE"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28</w:t>
      </w:r>
      <w:r w:rsidRPr="00A2626A">
        <w:rPr>
          <w:rFonts w:ascii="Verdana" w:hAnsi="Verdana" w:cs="Arial"/>
          <w:bCs/>
          <w:sz w:val="20"/>
          <w:szCs w:val="20"/>
        </w:rPr>
        <w:t>.</w:t>
      </w:r>
    </w:p>
    <w:p w14:paraId="72FE7896"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acciones no listadas en bolsas de valores o sistemas de negociación de valores ponderan al 100%.</w:t>
      </w:r>
    </w:p>
    <w:p w14:paraId="6AE44FE9" w14:textId="45913755" w:rsidR="0021350F" w:rsidRPr="004D510E" w:rsidRDefault="0021350F" w:rsidP="004D510E">
      <w:pPr>
        <w:tabs>
          <w:tab w:val="left" w:pos="284"/>
          <w:tab w:val="left" w:pos="567"/>
        </w:tabs>
        <w:spacing w:line="0" w:lineRule="atLeast"/>
        <w:jc w:val="both"/>
        <w:rPr>
          <w:rFonts w:ascii="Verdana" w:hAnsi="Verdana" w:cs="Arial"/>
          <w:b/>
          <w:bCs/>
          <w:sz w:val="20"/>
          <w:szCs w:val="20"/>
        </w:rPr>
      </w:pPr>
      <w:r w:rsidRPr="004D510E">
        <w:rPr>
          <w:rFonts w:ascii="Verdana" w:hAnsi="Verdana" w:cs="Arial"/>
          <w:b/>
          <w:bCs/>
          <w:sz w:val="20"/>
          <w:szCs w:val="20"/>
        </w:rPr>
        <w:t>Ponderación de inversiones en fondos o patrimonios autónomos</w:t>
      </w:r>
    </w:p>
    <w:p w14:paraId="62B9B3A8" w14:textId="49637854"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29</w:t>
      </w:r>
      <w:r w:rsidRPr="00A2626A">
        <w:rPr>
          <w:rFonts w:ascii="Verdana" w:hAnsi="Verdana" w:cs="Arial"/>
          <w:bCs/>
          <w:sz w:val="20"/>
          <w:szCs w:val="20"/>
        </w:rPr>
        <w:t>.</w:t>
      </w:r>
    </w:p>
    <w:p w14:paraId="0173E736" w14:textId="77777777" w:rsidR="0021350F" w:rsidRPr="00923E21" w:rsidRDefault="0021350F" w:rsidP="0050A195">
      <w:pPr>
        <w:spacing w:line="0" w:lineRule="atLeast"/>
        <w:jc w:val="both"/>
        <w:rPr>
          <w:rFonts w:ascii="Verdana" w:hAnsi="Verdana" w:cs="Arial"/>
          <w:sz w:val="20"/>
          <w:szCs w:val="20"/>
        </w:rPr>
      </w:pPr>
      <w:r w:rsidRPr="0050A195">
        <w:rPr>
          <w:rFonts w:ascii="Verdana" w:hAnsi="Verdana" w:cs="Arial"/>
          <w:sz w:val="20"/>
          <w:szCs w:val="20"/>
        </w:rPr>
        <w:t xml:space="preserve">Para la ponderación de las inversiones en cualquier tipo de fondos a los que hace referencia la Parte 3 del Decreto 2555 de 2010, o patrimonios autónomos, las AFP utilizarán los métodos de ponderación directa, por mandato, apalancada o residual con sujeción al cumplimiento de los criterios establecidos en el numeral 11 del artículo 2.6.1.1.10 del Decreto 2555 de 2010 y conforme con las instrucciones del presente capítulo. </w:t>
      </w:r>
    </w:p>
    <w:p w14:paraId="080BF926" w14:textId="1A815385"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30</w:t>
      </w:r>
      <w:r w:rsidRPr="00A2626A">
        <w:rPr>
          <w:rFonts w:ascii="Verdana" w:hAnsi="Verdana" w:cs="Arial"/>
          <w:bCs/>
          <w:sz w:val="20"/>
          <w:szCs w:val="20"/>
        </w:rPr>
        <w:t>.</w:t>
      </w:r>
    </w:p>
    <w:p w14:paraId="161AAA98"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Las AFP deben establecer un procedimiento para la clasificación de sus inversiones en fondos y patrimonios autónomos que les permita acreditar el cumplimiento de los criterios de información y poder aplicar alguno de los métodos antes señalados. Asimismo, será responsabilidad de la entidad evaluar periódicamente el cumplimiento de los criterios para seleccionar el método.</w:t>
      </w:r>
    </w:p>
    <w:p w14:paraId="08D8F617" w14:textId="7D9C69C6"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31</w:t>
      </w:r>
      <w:r w:rsidRPr="00A2626A">
        <w:rPr>
          <w:rFonts w:ascii="Verdana" w:hAnsi="Verdana" w:cs="Arial"/>
          <w:bCs/>
          <w:sz w:val="20"/>
          <w:szCs w:val="20"/>
        </w:rPr>
        <w:t>.</w:t>
      </w:r>
    </w:p>
    <w:p w14:paraId="1C3F02D6" w14:textId="77777777" w:rsidR="0021350F" w:rsidRPr="00923E21" w:rsidRDefault="0021350F" w:rsidP="0050A195">
      <w:pPr>
        <w:spacing w:line="0" w:lineRule="atLeast"/>
        <w:jc w:val="both"/>
        <w:rPr>
          <w:rFonts w:ascii="Verdana" w:hAnsi="Verdana" w:cs="Arial"/>
          <w:sz w:val="20"/>
          <w:szCs w:val="20"/>
        </w:rPr>
      </w:pPr>
      <w:r w:rsidRPr="0050A195">
        <w:rPr>
          <w:rFonts w:ascii="Verdana" w:hAnsi="Verdana" w:cs="Arial"/>
          <w:sz w:val="20"/>
          <w:szCs w:val="20"/>
        </w:rPr>
        <w:t>Las entidades deben informar a la SFC el método de ponderación que utilizarán siguiendo las instrucciones del Anexo 2 del presente capítulo cada vez que: (i) se realicen inversiones en fondos o patrimonios autónomos cuyo método de ponderación no se haya informado a la SFC, o (ii) cuando deba cambiarse el método de ponderación aplicado a una determinada inversión. En todo caso, la SFC podrá ordenar a la entidad el uso de un método distinto respecto de uno o varios fondos o patrimonios autónomos cuando no se cumplan las condiciones para emplear el método usado por la entidad.</w:t>
      </w:r>
    </w:p>
    <w:p w14:paraId="7492D27A" w14:textId="34D52C8C" w:rsidR="00787697" w:rsidRPr="00A2626A" w:rsidRDefault="00787697" w:rsidP="007876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32</w:t>
      </w:r>
      <w:r w:rsidRPr="00A2626A">
        <w:rPr>
          <w:rFonts w:ascii="Verdana" w:hAnsi="Verdana" w:cs="Arial"/>
          <w:bCs/>
          <w:sz w:val="20"/>
          <w:szCs w:val="20"/>
        </w:rPr>
        <w:t>.</w:t>
      </w:r>
    </w:p>
    <w:p w14:paraId="53E4A6D6" w14:textId="372158AE" w:rsidR="0021350F" w:rsidRPr="00923E21" w:rsidRDefault="0021350F" w:rsidP="0050A195">
      <w:pPr>
        <w:spacing w:line="0" w:lineRule="atLeast"/>
        <w:jc w:val="both"/>
        <w:rPr>
          <w:rFonts w:ascii="Verdana" w:hAnsi="Verdana" w:cs="Arial"/>
          <w:sz w:val="20"/>
          <w:szCs w:val="20"/>
        </w:rPr>
      </w:pPr>
      <w:r w:rsidRPr="0050A195">
        <w:rPr>
          <w:rFonts w:ascii="Verdana" w:hAnsi="Verdana" w:cs="Arial"/>
          <w:sz w:val="20"/>
          <w:szCs w:val="20"/>
        </w:rPr>
        <w:t xml:space="preserve">Dentro de los fondos o patrimonios autónomos de las AFP se deben considerar aquellos constituidos para amparar las desviaciones en la cuantificación del monto correspondiente la cobertura de los riesgos de que trata el </w:t>
      </w:r>
      <w:r w:rsidR="008A2DE4">
        <w:rPr>
          <w:rFonts w:ascii="Verdana" w:hAnsi="Verdana" w:cs="Arial"/>
          <w:sz w:val="20"/>
          <w:szCs w:val="20"/>
        </w:rPr>
        <w:t>párrafo 2.4.3.17.</w:t>
      </w:r>
      <w:r w:rsidRPr="0050A195">
        <w:rPr>
          <w:rFonts w:ascii="Verdana" w:hAnsi="Verdana" w:cs="Arial"/>
          <w:sz w:val="20"/>
          <w:szCs w:val="20"/>
        </w:rPr>
        <w:t xml:space="preserve"> El valor del patrimonio autónomo se determinará de acuerdo con las instrucciones que imparta la SFC. Para la ponderación de estos patrimonios autónomos las AFP utilizarán el método de ponderación directa, por mandato, apalancada o residual con sujeción al cumplimiento de los criterios establecidos en el numeral 11 del artículo 2.6.1.1.10 del Decreto 2555 de 2010 y las instrucciones de la metodología estándar que se establecen en el presente capítulo.</w:t>
      </w:r>
    </w:p>
    <w:p w14:paraId="19D4F94D" w14:textId="59BE5827" w:rsidR="00806403" w:rsidRPr="00A2626A" w:rsidRDefault="00806403" w:rsidP="0080640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33</w:t>
      </w:r>
      <w:r w:rsidRPr="00A2626A">
        <w:rPr>
          <w:rFonts w:ascii="Verdana" w:hAnsi="Verdana" w:cs="Arial"/>
          <w:bCs/>
          <w:sz w:val="20"/>
          <w:szCs w:val="20"/>
        </w:rPr>
        <w:t>.</w:t>
      </w:r>
    </w:p>
    <w:p w14:paraId="2E31065E"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Igualmente, las entidades deben revelar en las notas a sus estados financieros las políticas aprobadas para realizar inversiones en fondos y patrimonios autónomos, así como la información del portafolio en este tipo de inversiones.</w:t>
      </w:r>
    </w:p>
    <w:p w14:paraId="7648A9B4" w14:textId="02C9DB09" w:rsidR="00806403" w:rsidRPr="00A2626A" w:rsidRDefault="00806403" w:rsidP="0080640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34</w:t>
      </w:r>
      <w:r w:rsidRPr="00A2626A">
        <w:rPr>
          <w:rFonts w:ascii="Verdana" w:hAnsi="Verdana" w:cs="Arial"/>
          <w:bCs/>
          <w:sz w:val="20"/>
          <w:szCs w:val="20"/>
        </w:rPr>
        <w:t>.</w:t>
      </w:r>
    </w:p>
    <w:p w14:paraId="6378438C"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La sociedad administradora o gestora debe suministrar a los inversionistas la información sobre los activos subyacentes, garantías y demás requisitos para que tales inversionistas puedan realizar una adecuada clasificación y ponderación de los activos por riesgo crediticio.</w:t>
      </w:r>
    </w:p>
    <w:p w14:paraId="7F19E147" w14:textId="3B2A7FCB" w:rsidR="00785A0A" w:rsidRPr="00A2626A" w:rsidRDefault="00785A0A" w:rsidP="00785A0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35</w:t>
      </w:r>
      <w:r w:rsidRPr="00A2626A">
        <w:rPr>
          <w:rFonts w:ascii="Verdana" w:hAnsi="Verdana" w:cs="Arial"/>
          <w:bCs/>
          <w:sz w:val="20"/>
          <w:szCs w:val="20"/>
        </w:rPr>
        <w:t>.</w:t>
      </w:r>
    </w:p>
    <w:p w14:paraId="2EFC88D8" w14:textId="345F54AB" w:rsidR="00203A8A" w:rsidRPr="008D212D" w:rsidRDefault="0021350F" w:rsidP="008D212D">
      <w:pPr>
        <w:spacing w:line="0" w:lineRule="atLeast"/>
        <w:jc w:val="both"/>
        <w:rPr>
          <w:rFonts w:ascii="Verdana" w:hAnsi="Verdana" w:cs="Arial"/>
          <w:sz w:val="20"/>
          <w:szCs w:val="20"/>
        </w:rPr>
      </w:pPr>
      <w:r w:rsidRPr="00923E21">
        <w:rPr>
          <w:rFonts w:ascii="Verdana" w:hAnsi="Verdana" w:cs="Arial"/>
          <w:sz w:val="20"/>
          <w:szCs w:val="20"/>
        </w:rPr>
        <w:t>A continuación, se establecen los criterios técnicos y de información para cada uno de los métodos:</w:t>
      </w:r>
    </w:p>
    <w:p w14:paraId="515B9B7A" w14:textId="402A39E9" w:rsidR="0021350F" w:rsidRPr="00877C3D" w:rsidRDefault="0021350F" w:rsidP="00203A8A">
      <w:pPr>
        <w:pStyle w:val="Prrafodelista"/>
        <w:numPr>
          <w:ilvl w:val="0"/>
          <w:numId w:val="21"/>
        </w:numPr>
        <w:tabs>
          <w:tab w:val="left" w:pos="1701"/>
        </w:tabs>
        <w:spacing w:line="0" w:lineRule="atLeast"/>
        <w:ind w:left="284" w:hanging="284"/>
        <w:jc w:val="both"/>
        <w:rPr>
          <w:rFonts w:ascii="Verdana" w:hAnsi="Verdana" w:cs="Arial"/>
          <w:b/>
          <w:bCs/>
          <w:sz w:val="20"/>
          <w:szCs w:val="20"/>
        </w:rPr>
      </w:pPr>
      <w:r w:rsidRPr="00877C3D">
        <w:rPr>
          <w:rFonts w:ascii="Verdana" w:hAnsi="Verdana" w:cs="Arial"/>
          <w:b/>
          <w:bCs/>
          <w:sz w:val="20"/>
          <w:szCs w:val="20"/>
        </w:rPr>
        <w:t>Ponderación directa</w:t>
      </w:r>
    </w:p>
    <w:p w14:paraId="68756E81" w14:textId="05DF1603" w:rsidR="00785A0A" w:rsidRPr="00A2626A" w:rsidRDefault="00785A0A" w:rsidP="00785A0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36</w:t>
      </w:r>
      <w:r w:rsidRPr="00A2626A">
        <w:rPr>
          <w:rFonts w:ascii="Verdana" w:hAnsi="Verdana" w:cs="Arial"/>
          <w:bCs/>
          <w:sz w:val="20"/>
          <w:szCs w:val="20"/>
        </w:rPr>
        <w:t>.</w:t>
      </w:r>
    </w:p>
    <w:p w14:paraId="3F171D8C"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En este método la entidad debe ponderar los activos o exposiciones subyacentes del fondo o patrimonio autónomo como si los activos o exposiciones estuvieran directamente en poder de la entidad.</w:t>
      </w:r>
    </w:p>
    <w:p w14:paraId="5A5C368C" w14:textId="4E5E957B" w:rsidR="00785A0A" w:rsidRPr="00A2626A" w:rsidRDefault="00785A0A" w:rsidP="00785A0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37</w:t>
      </w:r>
      <w:r w:rsidRPr="00A2626A">
        <w:rPr>
          <w:rFonts w:ascii="Verdana" w:hAnsi="Verdana" w:cs="Arial"/>
          <w:bCs/>
          <w:sz w:val="20"/>
          <w:szCs w:val="20"/>
        </w:rPr>
        <w:t>.</w:t>
      </w:r>
    </w:p>
    <w:p w14:paraId="350E9504"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Para establecer los activos ponderados de las exposiciones del fondo o patrimonio autónomo se debe aplicar la siguiente expresión:</w:t>
      </w:r>
    </w:p>
    <w:p w14:paraId="0B7786CF" w14:textId="77777777" w:rsidR="0021350F" w:rsidRPr="00923E21" w:rsidRDefault="0021350F" w:rsidP="0021350F">
      <w:pPr>
        <w:spacing w:line="0" w:lineRule="atLeast"/>
        <w:jc w:val="both"/>
        <w:rPr>
          <w:rFonts w:ascii="Verdana" w:hAnsi="Verdana" w:cs="Arial"/>
          <w:sz w:val="20"/>
          <w:szCs w:val="20"/>
        </w:rPr>
      </w:pPr>
    </w:p>
    <w:p w14:paraId="037B6A33"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APNR</m:t>
              </m:r>
            </m:e>
            <m:sub>
              <m:r>
                <w:rPr>
                  <w:rFonts w:ascii="Cambria Math" w:hAnsi="Cambria Math" w:cs="Arial"/>
                  <w:sz w:val="20"/>
                  <w:szCs w:val="20"/>
                </w:rPr>
                <m:t>a</m:t>
              </m:r>
            </m:sub>
          </m:sSub>
          <m:r>
            <w:rPr>
              <w:rFonts w:ascii="Cambria Math" w:hAnsi="Cambria Math" w:cs="Arial"/>
              <w:sz w:val="20"/>
              <w:szCs w:val="20"/>
            </w:rPr>
            <m: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X+Y+Z</m:t>
                  </m:r>
                </m:num>
                <m:den>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e>
          </m:d>
        </m:oMath>
      </m:oMathPara>
    </w:p>
    <w:p w14:paraId="30A5E671" w14:textId="77777777" w:rsidR="0021350F" w:rsidRPr="00923E21" w:rsidRDefault="0021350F" w:rsidP="0021350F">
      <w:pPr>
        <w:spacing w:line="0" w:lineRule="atLeast"/>
        <w:jc w:val="both"/>
        <w:rPr>
          <w:rFonts w:ascii="Verdana" w:hAnsi="Verdana" w:cs="Arial"/>
          <w:sz w:val="20"/>
          <w:szCs w:val="20"/>
        </w:rPr>
      </w:pPr>
    </w:p>
    <w:p w14:paraId="67865491"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3A0A4748" w14:textId="613E454B" w:rsidR="0021350F" w:rsidRPr="00923E21" w:rsidRDefault="00A91A74" w:rsidP="0021350F">
      <w:pPr>
        <w:spacing w:line="0" w:lineRule="atLeast"/>
        <w:jc w:val="both"/>
        <w:rPr>
          <w:rFonts w:ascii="Verdana" w:hAnsi="Verdana" w:cs="Arial"/>
          <w:sz w:val="20"/>
          <w:szCs w:val="20"/>
        </w:rPr>
      </w:pPr>
      <m:oMath>
        <m:r>
          <w:rPr>
            <w:rFonts w:ascii="Cambria Math" w:hAnsi="Cambria Math" w:cs="Arial"/>
            <w:sz w:val="20"/>
            <w:szCs w:val="20"/>
          </w:rPr>
          <m:t>a</m:t>
        </m:r>
      </m:oMath>
      <w:r w:rsidR="0021350F" w:rsidRPr="00A91A74">
        <w:rPr>
          <w:rFonts w:ascii="Verdana" w:hAnsi="Verdana" w:cs="Arial"/>
          <w:bCs/>
          <w:sz w:val="20"/>
          <w:szCs w:val="20"/>
        </w:rPr>
        <w:t>:</w:t>
      </w:r>
      <w:r w:rsidR="0021350F" w:rsidRPr="00923E21">
        <w:rPr>
          <w:rFonts w:ascii="Verdana" w:hAnsi="Verdana" w:cs="Arial"/>
          <w:sz w:val="20"/>
          <w:szCs w:val="20"/>
        </w:rPr>
        <w:t xml:space="preserve"> corresponde al fondo o patrimonio autónomo para el que se realiza el cálculo.</w:t>
      </w:r>
    </w:p>
    <w:p w14:paraId="12FCE667" w14:textId="558B1498" w:rsidR="0021350F" w:rsidRPr="00923E21" w:rsidRDefault="00A91A74" w:rsidP="0050A195">
      <w:pPr>
        <w:spacing w:line="0" w:lineRule="atLeast"/>
        <w:jc w:val="both"/>
        <w:rPr>
          <w:rFonts w:ascii="Verdana" w:hAnsi="Verdana" w:cs="Arial"/>
          <w:sz w:val="20"/>
          <w:szCs w:val="20"/>
        </w:rPr>
      </w:pPr>
      <m:oMath>
        <m:r>
          <w:rPr>
            <w:rFonts w:ascii="Cambria Math" w:hAnsi="Cambria Math" w:cs="Arial"/>
            <w:sz w:val="20"/>
            <w:szCs w:val="20"/>
          </w:rPr>
          <m:t>X</m:t>
        </m:r>
      </m:oMath>
      <w:r w:rsidR="0021350F" w:rsidRPr="00A91A74">
        <w:rPr>
          <w:rFonts w:ascii="Verdana" w:hAnsi="Verdana" w:cs="Arial"/>
          <w:bCs/>
          <w:sz w:val="20"/>
          <w:szCs w:val="20"/>
        </w:rPr>
        <w:t>:</w:t>
      </w:r>
      <w:r w:rsidR="0021350F" w:rsidRPr="0050A195">
        <w:rPr>
          <w:rFonts w:ascii="Verdana" w:hAnsi="Verdana" w:cs="Arial"/>
          <w:sz w:val="20"/>
          <w:szCs w:val="20"/>
        </w:rPr>
        <w:t xml:space="preserve"> corresponde a los requerimientos por las exposiciones del balance (activos del fondo o del patrimonio autónomo), para lo cual se debe conocer el detalle de la composición de inversiones del fondo o patrimonio autónomo. Para las inversiones de un fondo o patrimonio autónomo en otro fondo de inversión o patrimonio, el ponderador aplicable a la inversión será el ponderador que sea aplicable al fondo o patrimonio destinatario de la inversión, bajo cualquiera de los métodos previstos en el presente capítulo, siempre que se cumplan todos los requisitos para aplicar el respectivo método al fondo o patrimonio destinatario de la inversión. </w:t>
      </w:r>
    </w:p>
    <w:p w14:paraId="5B7B7FB9" w14:textId="03C38ECD" w:rsidR="0021350F" w:rsidRPr="00923E21" w:rsidRDefault="00A91A74" w:rsidP="0021350F">
      <w:pPr>
        <w:spacing w:line="0" w:lineRule="atLeast"/>
        <w:jc w:val="both"/>
        <w:rPr>
          <w:rFonts w:ascii="Verdana" w:hAnsi="Verdana" w:cs="Arial"/>
          <w:sz w:val="20"/>
          <w:szCs w:val="20"/>
        </w:rPr>
      </w:pPr>
      <m:oMath>
        <m:r>
          <w:rPr>
            <w:rFonts w:ascii="Cambria Math" w:hAnsi="Cambria Math" w:cs="Arial"/>
            <w:sz w:val="20"/>
            <w:szCs w:val="20"/>
          </w:rPr>
          <m:t>Y</m:t>
        </m:r>
      </m:oMath>
      <w:r w:rsidR="0021350F" w:rsidRPr="00A91A74">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fuera del balance (cuentas contingentes) que se determinan multiplicando el monto nominal de las contingencias por el factor de conversión crediticio correspondiente. Para los efectos de esta norma solo se podrán considerar aquellas operaciones contingentes que no representen una operación apalancada, dentro de las que se encuentran las operaciones definidas en los parágrafos del artículo 3.1.1.5.1 del Decreto 2555 de 2010 o la norma que lo modifique o sustituya.</w:t>
      </w:r>
    </w:p>
    <w:p w14:paraId="40DBF615" w14:textId="2F70B906" w:rsidR="0021350F" w:rsidRPr="00923E21" w:rsidRDefault="00A91A74" w:rsidP="0021350F">
      <w:pPr>
        <w:spacing w:line="0" w:lineRule="atLeast"/>
        <w:jc w:val="both"/>
        <w:rPr>
          <w:rFonts w:ascii="Verdana" w:hAnsi="Verdana" w:cs="Arial"/>
          <w:sz w:val="20"/>
          <w:szCs w:val="20"/>
        </w:rPr>
      </w:pPr>
      <m:oMath>
        <m:r>
          <w:rPr>
            <w:rFonts w:ascii="Cambria Math" w:hAnsi="Cambria Math" w:cs="Arial"/>
            <w:sz w:val="20"/>
            <w:szCs w:val="20"/>
          </w:rPr>
          <m:t>Z</m:t>
        </m:r>
      </m:oMath>
      <w:r w:rsidR="0021350F" w:rsidRPr="00A91A74">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en instrumentos financieros derivados, cuando el fondo o el patrimonio autónomo tenga permitido realizar operaciones sobre estos instrumentos. Para los efectos de este método solo se podrán considerar aquellas operaciones con instrumentos financieros derivados que no representen una operación apalancada, según lo establecido en los parágrafos del artículo 3.1.1.5.1 del Decreto 2555 de 2010 o la norma que lo modifique o sustituya.</w:t>
      </w:r>
    </w:p>
    <w:p w14:paraId="2B5F932A" w14:textId="035D6F75" w:rsidR="0021350F" w:rsidRPr="00923E21" w:rsidRDefault="00A91A74" w:rsidP="0021350F">
      <w:pPr>
        <w:spacing w:line="0" w:lineRule="atLeast"/>
        <w:jc w:val="both"/>
        <w:rPr>
          <w:rFonts w:ascii="Verdana" w:hAnsi="Verdana" w:cs="Arial"/>
          <w:sz w:val="20"/>
          <w:szCs w:val="20"/>
        </w:rPr>
      </w:pPr>
      <m:oMath>
        <m:r>
          <w:rPr>
            <w:rFonts w:ascii="Cambria Math" w:hAnsi="Cambria Math" w:cs="Arial"/>
            <w:sz w:val="20"/>
            <w:szCs w:val="20"/>
          </w:rPr>
          <m:t>T.</m:t>
        </m:r>
        <m:sSub>
          <m:sSubPr>
            <m:ctrlPr>
              <w:rPr>
                <w:rFonts w:ascii="Cambria Math" w:hAnsi="Cambria Math" w:cs="Arial"/>
                <w:bCs/>
                <w:i/>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A91A74">
        <w:rPr>
          <w:rFonts w:ascii="Verdana" w:hAnsi="Verdana" w:cs="Arial"/>
          <w:bCs/>
          <w:sz w:val="20"/>
          <w:szCs w:val="20"/>
        </w:rPr>
        <w:t>:</w:t>
      </w:r>
      <w:r w:rsidR="0021350F" w:rsidRPr="00923E21">
        <w:rPr>
          <w:rFonts w:ascii="Verdana" w:hAnsi="Verdana" w:cs="Arial"/>
          <w:sz w:val="20"/>
          <w:szCs w:val="20"/>
        </w:rPr>
        <w:t xml:space="preserve"> corresponde al valor total de los activos bajo administración del fondo o del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0FB053D0" w14:textId="7D7318C4"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w:r w:rsidR="0021350F" w:rsidRPr="00A91A74">
        <w:rPr>
          <w:rFonts w:ascii="Verdana" w:hAnsi="Verdana" w:cs="Arial"/>
          <w:sz w:val="20"/>
          <w:szCs w:val="20"/>
        </w:rPr>
        <w:t>:</w:t>
      </w:r>
      <w:r w:rsidR="0021350F" w:rsidRPr="00923E21">
        <w:rPr>
          <w:rFonts w:ascii="Verdana" w:hAnsi="Verdana" w:cs="Arial"/>
          <w:sz w:val="20"/>
          <w:szCs w:val="20"/>
        </w:rPr>
        <w:t xml:space="preserve"> corresponde al valor de la participación de la AFP en 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como:</w:t>
      </w:r>
    </w:p>
    <w:p w14:paraId="7A8C1685"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r>
            <w:rPr>
              <w:rFonts w:ascii="Cambria Math" w:hAnsi="Cambria Math" w:cs="Arial"/>
              <w:sz w:val="20"/>
              <w:szCs w:val="20"/>
            </w:rPr>
            <m:t>*%participación</m:t>
          </m:r>
        </m:oMath>
      </m:oMathPara>
    </w:p>
    <w:p w14:paraId="6B48E2DA" w14:textId="77777777" w:rsidR="0021350F" w:rsidRPr="00923E21" w:rsidRDefault="0021350F" w:rsidP="0021350F">
      <w:pPr>
        <w:spacing w:line="0" w:lineRule="atLeast"/>
        <w:jc w:val="both"/>
        <w:rPr>
          <w:rFonts w:ascii="Verdana" w:hAnsi="Verdana" w:cs="Arial"/>
          <w:sz w:val="20"/>
          <w:szCs w:val="20"/>
        </w:rPr>
      </w:pPr>
    </w:p>
    <w:p w14:paraId="6633ACD2" w14:textId="291B292E" w:rsidR="0021350F" w:rsidRPr="00923E21" w:rsidRDefault="00395C38" w:rsidP="0021350F">
      <w:pPr>
        <w:spacing w:line="0" w:lineRule="atLeast"/>
        <w:jc w:val="both"/>
        <w:rPr>
          <w:rFonts w:ascii="Verdana" w:hAnsi="Verdana" w:cs="Arial"/>
          <w:sz w:val="20"/>
          <w:szCs w:val="20"/>
        </w:rPr>
      </w:pPr>
      <m:oMath>
        <m:r>
          <w:rPr>
            <w:rFonts w:ascii="Cambria Math" w:hAnsi="Cambria Math" w:cs="Arial"/>
            <w:sz w:val="20"/>
            <w:szCs w:val="20"/>
          </w:rPr>
          <m:t>%participación</m:t>
        </m:r>
      </m:oMath>
      <w:r w:rsidR="0021350F" w:rsidRPr="00395C38">
        <w:rPr>
          <w:rFonts w:ascii="Verdana" w:hAnsi="Verdana" w:cs="Arial"/>
          <w:bCs/>
          <w:sz w:val="20"/>
          <w:szCs w:val="20"/>
        </w:rPr>
        <w:t xml:space="preserve">: </w:t>
      </w:r>
      <w:r w:rsidR="0021350F" w:rsidRPr="00923E21">
        <w:rPr>
          <w:rFonts w:ascii="Verdana" w:hAnsi="Verdana" w:cs="Arial"/>
          <w:sz w:val="20"/>
          <w:szCs w:val="20"/>
        </w:rPr>
        <w:t xml:space="preserve">corresponde al porcentaje de participación de la AFP en el total de los activos del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a partir de la relación entre el valor de la inversión de la AFP y el valor total de los activos del fondo o patrimonio autónomo.</w:t>
      </w:r>
    </w:p>
    <w:p w14:paraId="1D996B19" w14:textId="3AF104CA" w:rsidR="00785A0A" w:rsidRPr="00A2626A" w:rsidRDefault="00785A0A" w:rsidP="00785A0A">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38</w:t>
      </w:r>
      <w:r w:rsidRPr="00A2626A">
        <w:rPr>
          <w:rFonts w:ascii="Verdana" w:hAnsi="Verdana" w:cs="Arial"/>
          <w:bCs/>
          <w:sz w:val="20"/>
          <w:szCs w:val="20"/>
        </w:rPr>
        <w:t>.</w:t>
      </w:r>
    </w:p>
    <w:p w14:paraId="59FCE024" w14:textId="6056554C"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el cálculo de los requerimientos </w:t>
      </w:r>
      <m:oMath>
        <m:r>
          <w:rPr>
            <w:rFonts w:ascii="Cambria Math" w:hAnsi="Cambria Math" w:cs="Arial"/>
            <w:sz w:val="20"/>
            <w:szCs w:val="20"/>
          </w:rPr>
          <m:t>X</m:t>
        </m:r>
      </m:oMath>
      <w:r w:rsidRPr="00923E21">
        <w:rPr>
          <w:rFonts w:ascii="Verdana" w:hAnsi="Verdana" w:cs="Arial"/>
          <w:sz w:val="20"/>
          <w:szCs w:val="20"/>
        </w:rPr>
        <w:t xml:space="preserve">, </w:t>
      </w:r>
      <m:oMath>
        <m:r>
          <w:rPr>
            <w:rFonts w:ascii="Cambria Math" w:hAnsi="Cambria Math" w:cs="Arial"/>
            <w:sz w:val="20"/>
            <w:szCs w:val="20"/>
          </w:rPr>
          <m:t>Y</m:t>
        </m:r>
      </m:oMath>
      <w:r w:rsidRPr="00923E21">
        <w:rPr>
          <w:rFonts w:ascii="Verdana" w:hAnsi="Verdana" w:cs="Arial"/>
          <w:sz w:val="20"/>
          <w:szCs w:val="20"/>
        </w:rPr>
        <w:t xml:space="preserve">, </w:t>
      </w:r>
      <m:oMath>
        <m:r>
          <w:rPr>
            <w:rFonts w:ascii="Cambria Math" w:hAnsi="Cambria Math" w:cs="Arial"/>
            <w:sz w:val="20"/>
            <w:szCs w:val="20"/>
          </w:rPr>
          <m:t>Z</m:t>
        </m:r>
      </m:oMath>
      <w:r w:rsidRPr="00923E21">
        <w:rPr>
          <w:rFonts w:ascii="Verdana" w:hAnsi="Verdana" w:cs="Arial"/>
          <w:sz w:val="20"/>
          <w:szCs w:val="20"/>
        </w:rPr>
        <w:t xml:space="preserve"> se deben aplicar las siguientes expresiones: </w:t>
      </w:r>
    </w:p>
    <w:p w14:paraId="552FBA7D" w14:textId="77777777" w:rsidR="0021350F" w:rsidRPr="00923E21" w:rsidRDefault="0021350F" w:rsidP="0021350F">
      <w:pPr>
        <w:spacing w:line="0" w:lineRule="atLeast"/>
        <w:jc w:val="both"/>
        <w:rPr>
          <w:rFonts w:ascii="Verdana" w:hAnsi="Verdana" w:cs="Arial"/>
          <w:sz w:val="20"/>
          <w:szCs w:val="20"/>
        </w:rPr>
      </w:pPr>
      <m:oMathPara>
        <m:oMath>
          <m:r>
            <w:rPr>
              <w:rFonts w:ascii="Cambria Math" w:hAnsi="Cambria Math" w:cs="Arial"/>
              <w:sz w:val="20"/>
              <w:szCs w:val="20"/>
            </w:rPr>
            <m:t>X=</m:t>
          </m:r>
          <m:d>
            <m:dPr>
              <m:begChr m:val="["/>
              <m:endChr m:val="]"/>
              <m:ctrlPr>
                <w:rPr>
                  <w:rFonts w:ascii="Cambria Math" w:hAnsi="Cambria Math" w:cs="Arial"/>
                  <w:i/>
                  <w:sz w:val="20"/>
                  <w:szCs w:val="20"/>
                </w:rPr>
              </m:ctrlPr>
            </m:dPr>
            <m:e>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Pon</m:t>
                      </m:r>
                    </m:e>
                    <m:sub>
                      <m:r>
                        <w:rPr>
                          <w:rFonts w:ascii="Cambria Math" w:hAnsi="Cambria Math" w:cs="Arial"/>
                          <w:sz w:val="20"/>
                          <w:szCs w:val="20"/>
                        </w:rPr>
                        <m:t>i</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valact</m:t>
                      </m:r>
                    </m:e>
                    <m:sub>
                      <m:r>
                        <w:rPr>
                          <w:rFonts w:ascii="Cambria Math" w:hAnsi="Cambria Math" w:cs="Arial"/>
                          <w:sz w:val="20"/>
                          <w:szCs w:val="20"/>
                        </w:rPr>
                        <m:t>i</m:t>
                      </m:r>
                    </m:sub>
                  </m:sSub>
                </m:e>
              </m:nary>
            </m:e>
          </m:d>
        </m:oMath>
      </m:oMathPara>
    </w:p>
    <w:p w14:paraId="0E190A27"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373B3158" w14:textId="68114A4F" w:rsidR="0021350F" w:rsidRPr="00923E21" w:rsidRDefault="00827E0F" w:rsidP="0021350F">
      <w:pPr>
        <w:tabs>
          <w:tab w:val="left" w:pos="284"/>
        </w:tabs>
        <w:spacing w:line="0" w:lineRule="atLeast"/>
        <w:jc w:val="both"/>
        <w:rPr>
          <w:rFonts w:ascii="Verdana" w:hAnsi="Verdana" w:cs="Arial"/>
          <w:sz w:val="20"/>
          <w:szCs w:val="20"/>
        </w:rPr>
      </w:pPr>
      <m:oMath>
        <m:r>
          <w:rPr>
            <w:rFonts w:ascii="Cambria Math" w:hAnsi="Cambria Math" w:cs="Arial"/>
            <w:sz w:val="20"/>
            <w:szCs w:val="20"/>
          </w:rPr>
          <m:t>i</m:t>
        </m:r>
      </m:oMath>
      <w:r w:rsidR="0021350F" w:rsidRPr="00827E0F">
        <w:rPr>
          <w:rFonts w:ascii="Verdana" w:hAnsi="Verdana" w:cs="Arial"/>
          <w:bCs/>
          <w:sz w:val="20"/>
          <w:szCs w:val="20"/>
        </w:rPr>
        <w:t>:</w:t>
      </w:r>
      <w:r w:rsidR="0021350F" w:rsidRPr="00923E21">
        <w:rPr>
          <w:rFonts w:ascii="Verdana" w:hAnsi="Verdana" w:cs="Arial"/>
          <w:sz w:val="20"/>
          <w:szCs w:val="20"/>
        </w:rPr>
        <w:t xml:space="preserve">  corresponde a cada activo que compone el fondo o patrimonio autónomo y que se calcula conforme a los criterios de clasificación y ponderación de activos que se definen en el artículo 2.6.1.1.10 del Decreto 2555 de 2010 y en el presente capítulo.</w:t>
      </w:r>
    </w:p>
    <w:p w14:paraId="708695E7" w14:textId="4DF29858" w:rsidR="0021350F" w:rsidRPr="00923E21" w:rsidRDefault="00827E0F" w:rsidP="0021350F">
      <w:pPr>
        <w:tabs>
          <w:tab w:val="left" w:pos="284"/>
        </w:tabs>
        <w:spacing w:line="0" w:lineRule="atLeast"/>
        <w:jc w:val="both"/>
        <w:rPr>
          <w:rFonts w:ascii="Verdana" w:hAnsi="Verdana" w:cs="Arial"/>
          <w:sz w:val="20"/>
          <w:szCs w:val="20"/>
        </w:rPr>
      </w:pPr>
      <m:oMath>
        <m:r>
          <w:rPr>
            <w:rFonts w:ascii="Cambria Math" w:hAnsi="Cambria Math" w:cs="Arial"/>
            <w:sz w:val="20"/>
            <w:szCs w:val="20"/>
          </w:rPr>
          <m:t>n</m:t>
        </m:r>
      </m:oMath>
      <w:r w:rsidR="0021350F" w:rsidRPr="00827E0F">
        <w:rPr>
          <w:rFonts w:ascii="Verdana" w:hAnsi="Verdana" w:cs="Arial"/>
          <w:bCs/>
          <w:sz w:val="20"/>
          <w:szCs w:val="20"/>
        </w:rPr>
        <w:t>:</w:t>
      </w:r>
      <w:r w:rsidR="0021350F" w:rsidRPr="00923E21">
        <w:rPr>
          <w:rFonts w:ascii="Verdana" w:hAnsi="Verdana" w:cs="Arial"/>
          <w:sz w:val="20"/>
          <w:szCs w:val="20"/>
        </w:rPr>
        <w:t xml:space="preserve"> es el número total de activos que componen el fondo o patrimonio autónomo para el que se realiza el cálculo.</w:t>
      </w:r>
    </w:p>
    <w:p w14:paraId="6CA363D6" w14:textId="75B28F55" w:rsidR="0021350F" w:rsidRPr="00923E21" w:rsidRDefault="00000000" w:rsidP="0021350F">
      <w:pPr>
        <w:tabs>
          <w:tab w:val="left" w:pos="284"/>
        </w:tabs>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Pon</m:t>
            </m:r>
          </m:e>
          <m:sub>
            <m:r>
              <w:rPr>
                <w:rFonts w:ascii="Cambria Math" w:hAnsi="Cambria Math" w:cs="Arial"/>
                <w:sz w:val="20"/>
                <w:szCs w:val="20"/>
              </w:rPr>
              <m:t>i</m:t>
            </m:r>
          </m:sub>
        </m:sSub>
      </m:oMath>
      <w:r w:rsidR="0021350F" w:rsidRPr="00827E0F">
        <w:rPr>
          <w:rFonts w:ascii="Verdana" w:hAnsi="Verdana" w:cs="Arial"/>
          <w:sz w:val="20"/>
          <w:szCs w:val="20"/>
        </w:rPr>
        <w:t xml:space="preserve">:  </w:t>
      </w:r>
      <w:r w:rsidR="0021350F" w:rsidRPr="00923E21">
        <w:rPr>
          <w:rFonts w:ascii="Verdana" w:hAnsi="Verdana" w:cs="Arial"/>
          <w:sz w:val="20"/>
          <w:szCs w:val="20"/>
        </w:rPr>
        <w:t xml:space="preserve">corresponde al ponderador aplicable al activo </w:t>
      </w:r>
      <m:oMath>
        <m:r>
          <w:rPr>
            <w:rFonts w:ascii="Cambria Math" w:hAnsi="Cambria Math" w:cs="Arial"/>
            <w:sz w:val="20"/>
            <w:szCs w:val="20"/>
          </w:rPr>
          <m:t>i</m:t>
        </m:r>
      </m:oMath>
      <w:r w:rsidR="0021350F" w:rsidRPr="00923E21">
        <w:rPr>
          <w:rFonts w:ascii="Verdana" w:hAnsi="Verdana" w:cs="Arial"/>
          <w:sz w:val="20"/>
          <w:szCs w:val="20"/>
        </w:rPr>
        <w:t>.</w:t>
      </w:r>
    </w:p>
    <w:p w14:paraId="70A4A9A1" w14:textId="7400BD0D"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valact</m:t>
            </m:r>
          </m:e>
          <m:sub>
            <m:r>
              <w:rPr>
                <w:rFonts w:ascii="Cambria Math" w:hAnsi="Cambria Math" w:cs="Arial"/>
                <w:sz w:val="20"/>
                <w:szCs w:val="20"/>
              </w:rPr>
              <m:t>i</m:t>
            </m:r>
          </m:sub>
        </m:sSub>
      </m:oMath>
      <w:r w:rsidR="0021350F" w:rsidRPr="00827E0F">
        <w:rPr>
          <w:rFonts w:ascii="Verdana" w:hAnsi="Verdana" w:cs="Arial"/>
          <w:sz w:val="20"/>
          <w:szCs w:val="20"/>
        </w:rPr>
        <w:t>:</w:t>
      </w:r>
      <w:r w:rsidR="0021350F" w:rsidRPr="00923E21">
        <w:rPr>
          <w:rFonts w:ascii="Verdana" w:hAnsi="Verdana" w:cs="Arial"/>
          <w:sz w:val="20"/>
          <w:szCs w:val="20"/>
        </w:rPr>
        <w:t xml:space="preserve">  corresponde al valor de la exposición del activo </w:t>
      </w:r>
      <m:oMath>
        <m:r>
          <w:rPr>
            <w:rFonts w:ascii="Cambria Math" w:hAnsi="Cambria Math" w:cs="Arial"/>
            <w:sz w:val="20"/>
            <w:szCs w:val="20"/>
          </w:rPr>
          <m:t>i</m:t>
        </m:r>
      </m:oMath>
      <w:r w:rsidR="0021350F" w:rsidRPr="00923E21">
        <w:rPr>
          <w:rFonts w:ascii="Verdana" w:hAnsi="Verdana" w:cs="Arial"/>
          <w:sz w:val="20"/>
          <w:szCs w:val="20"/>
        </w:rPr>
        <w:t xml:space="preserve"> que conforma el fondo o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780C79EC" w14:textId="77777777" w:rsidR="0021350F" w:rsidRPr="00923E21" w:rsidRDefault="0021350F" w:rsidP="0021350F">
      <w:pPr>
        <w:pStyle w:val="Prrafodelista"/>
        <w:spacing w:line="0" w:lineRule="atLeast"/>
        <w:ind w:left="0"/>
        <w:jc w:val="center"/>
        <w:rPr>
          <w:rFonts w:ascii="Verdana" w:hAnsi="Verdana" w:cs="Arial"/>
          <w:sz w:val="20"/>
          <w:szCs w:val="20"/>
        </w:rPr>
      </w:pPr>
    </w:p>
    <w:p w14:paraId="05CB5AB8" w14:textId="77777777" w:rsidR="00942B83" w:rsidRPr="00942B83" w:rsidRDefault="0021350F" w:rsidP="00942B83">
      <w:pPr>
        <w:pStyle w:val="Prrafodelista"/>
        <w:spacing w:line="0" w:lineRule="atLeast"/>
        <w:ind w:left="0"/>
        <w:jc w:val="center"/>
        <w:rPr>
          <w:rFonts w:ascii="Verdana" w:eastAsiaTheme="minorEastAsia" w:hAnsi="Verdana" w:cs="Arial"/>
          <w:sz w:val="20"/>
          <w:szCs w:val="20"/>
        </w:rPr>
      </w:pPr>
      <m:oMathPara>
        <m:oMath>
          <m:r>
            <w:rPr>
              <w:rFonts w:ascii="Cambria Math" w:hAnsi="Cambria Math" w:cs="Arial"/>
              <w:sz w:val="20"/>
              <w:szCs w:val="20"/>
            </w:rPr>
            <m:t xml:space="preserve"> Y=</m:t>
          </m:r>
          <m:d>
            <m:dPr>
              <m:ctrlPr>
                <w:rPr>
                  <w:rFonts w:ascii="Cambria Math" w:hAnsi="Cambria Math" w:cs="Arial"/>
                  <w:i/>
                  <w:sz w:val="20"/>
                  <w:szCs w:val="20"/>
                </w:rPr>
              </m:ctrlPr>
            </m:dPr>
            <m:e>
              <m:r>
                <w:rPr>
                  <w:rFonts w:ascii="Cambria Math" w:hAnsi="Cambria Math" w:cs="Arial"/>
                  <w:sz w:val="20"/>
                  <w:szCs w:val="20"/>
                </w:rPr>
                <m:t xml:space="preserve">Monto nominal de las contingencias </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Factor de conversión crediticio</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Ponderación por riesgo crediticio de la  contraparte</m:t>
              </m:r>
            </m:e>
          </m:d>
        </m:oMath>
      </m:oMathPara>
    </w:p>
    <w:p w14:paraId="33B07916" w14:textId="77777777" w:rsidR="00942B83" w:rsidRDefault="00942B83" w:rsidP="00942B83">
      <w:pPr>
        <w:pStyle w:val="Prrafodelista"/>
        <w:spacing w:line="0" w:lineRule="atLeast"/>
        <w:ind w:left="0"/>
        <w:rPr>
          <w:rFonts w:ascii="Verdana" w:hAnsi="Verdana" w:cs="Arial"/>
          <w:sz w:val="20"/>
          <w:szCs w:val="20"/>
        </w:rPr>
      </w:pPr>
    </w:p>
    <w:p w14:paraId="78C01C37" w14:textId="77777777" w:rsidR="00942B83" w:rsidRDefault="00942B83" w:rsidP="00942B83">
      <w:pPr>
        <w:pStyle w:val="Prrafodelista"/>
        <w:spacing w:line="0" w:lineRule="atLeast"/>
        <w:ind w:left="0"/>
        <w:rPr>
          <w:rFonts w:ascii="Verdana" w:hAnsi="Verdana" w:cs="Arial"/>
          <w:sz w:val="20"/>
          <w:szCs w:val="20"/>
        </w:rPr>
      </w:pPr>
    </w:p>
    <w:p w14:paraId="5C0A5F54" w14:textId="77777777" w:rsidR="00B972CD" w:rsidRDefault="00B972CD" w:rsidP="00942B83">
      <w:pPr>
        <w:pStyle w:val="Prrafodelista"/>
        <w:spacing w:line="0" w:lineRule="atLeast"/>
        <w:ind w:left="0"/>
        <w:rPr>
          <w:rFonts w:ascii="Verdana" w:hAnsi="Verdana" w:cs="Arial"/>
          <w:sz w:val="20"/>
          <w:szCs w:val="20"/>
        </w:rPr>
      </w:pPr>
    </w:p>
    <w:p w14:paraId="0B44CD6F" w14:textId="77777777" w:rsidR="00B972CD" w:rsidRDefault="00B972CD" w:rsidP="00942B83">
      <w:pPr>
        <w:pStyle w:val="Prrafodelista"/>
        <w:spacing w:line="0" w:lineRule="atLeast"/>
        <w:ind w:left="0"/>
        <w:rPr>
          <w:rFonts w:ascii="Verdana" w:hAnsi="Verdana" w:cs="Arial"/>
          <w:sz w:val="20"/>
          <w:szCs w:val="20"/>
        </w:rPr>
      </w:pPr>
    </w:p>
    <w:p w14:paraId="4A83A3E0" w14:textId="14F80E2F" w:rsidR="0021350F" w:rsidRPr="00942B83" w:rsidRDefault="0021350F" w:rsidP="00942B83">
      <w:pPr>
        <w:pStyle w:val="Prrafodelista"/>
        <w:spacing w:line="0" w:lineRule="atLeast"/>
        <w:ind w:left="0"/>
        <w:rPr>
          <w:rFonts w:ascii="Verdana" w:eastAsiaTheme="minorEastAsia" w:hAnsi="Verdana" w:cs="Arial"/>
          <w:sz w:val="20"/>
          <w:szCs w:val="20"/>
        </w:rPr>
      </w:pPr>
      <w:r w:rsidRPr="00923E21">
        <w:rPr>
          <w:rFonts w:ascii="Verdana" w:hAnsi="Verdana" w:cs="Arial"/>
          <w:sz w:val="20"/>
          <w:szCs w:val="20"/>
        </w:rPr>
        <w:lastRenderedPageBreak/>
        <w:t>Donde:</w:t>
      </w:r>
    </w:p>
    <w:p w14:paraId="2E546B77" w14:textId="7138112D" w:rsidR="0021350F" w:rsidRPr="00923E21" w:rsidRDefault="00942B83" w:rsidP="0021350F">
      <w:pPr>
        <w:spacing w:line="0" w:lineRule="atLeast"/>
        <w:jc w:val="both"/>
        <w:rPr>
          <w:rFonts w:ascii="Verdana" w:hAnsi="Verdana" w:cs="Arial"/>
          <w:sz w:val="20"/>
          <w:szCs w:val="20"/>
        </w:rPr>
      </w:pPr>
      <m:oMath>
        <m:r>
          <w:rPr>
            <w:rFonts w:ascii="Cambria Math" w:hAnsi="Cambria Math" w:cs="Arial"/>
            <w:sz w:val="20"/>
            <w:szCs w:val="20"/>
          </w:rPr>
          <m:t>Monto nominal de las contingencias</m:t>
        </m:r>
      </m:oMath>
      <w:r w:rsidR="0021350F" w:rsidRPr="00942B83">
        <w:rPr>
          <w:rFonts w:ascii="Verdana" w:hAnsi="Verdana" w:cs="Arial"/>
          <w:bCs/>
          <w:sz w:val="20"/>
          <w:szCs w:val="20"/>
        </w:rPr>
        <w:t>:</w:t>
      </w:r>
      <w:r w:rsidR="0021350F" w:rsidRPr="00923E21">
        <w:rPr>
          <w:rFonts w:ascii="Verdana" w:hAnsi="Verdana" w:cs="Arial"/>
          <w:sz w:val="20"/>
          <w:szCs w:val="20"/>
        </w:rPr>
        <w:t xml:space="preserve"> es el valor agregado de los compromisos contingentes, de acuerdo con la clasificación que se indica en la definición de </w:t>
      </w:r>
      <m:oMath>
        <m:r>
          <w:rPr>
            <w:rFonts w:ascii="Cambria Math" w:hAnsi="Cambria Math" w:cs="Arial"/>
            <w:sz w:val="20"/>
            <w:szCs w:val="20"/>
          </w:rPr>
          <m:t>Factor de conversión crediticio</m:t>
        </m:r>
      </m:oMath>
      <w:r w:rsidR="0021350F" w:rsidRPr="00923E21">
        <w:rPr>
          <w:rFonts w:ascii="Verdana" w:hAnsi="Verdana" w:cs="Arial"/>
          <w:sz w:val="20"/>
          <w:szCs w:val="20"/>
        </w:rPr>
        <w:t>, siempre que dichas contingencias no impliquen ningún tipo de apalancamiento de acuerdo con los parágrafos del artículo 3.1.1.5.1 del Decreto 2555 de 2010.</w:t>
      </w:r>
    </w:p>
    <w:p w14:paraId="087C5C7C" w14:textId="2544554A" w:rsidR="0021350F" w:rsidRPr="00942B83" w:rsidRDefault="00942B83" w:rsidP="00942B83">
      <w:pPr>
        <w:spacing w:line="0" w:lineRule="atLeast"/>
        <w:jc w:val="both"/>
        <w:rPr>
          <w:rFonts w:ascii="Verdana" w:hAnsi="Verdana" w:cs="Arial"/>
          <w:sz w:val="20"/>
          <w:szCs w:val="20"/>
        </w:rPr>
      </w:pPr>
      <m:oMath>
        <m:r>
          <w:rPr>
            <w:rFonts w:ascii="Cambria Math" w:hAnsi="Cambria Math" w:cs="Arial"/>
            <w:sz w:val="20"/>
            <w:szCs w:val="20"/>
          </w:rPr>
          <m:t>Factor de conversión crediticio</m:t>
        </m:r>
      </m:oMath>
      <w:r w:rsidR="0021350F" w:rsidRPr="00942B83">
        <w:rPr>
          <w:rFonts w:ascii="Verdana" w:hAnsi="Verdana" w:cs="Arial"/>
          <w:bCs/>
          <w:sz w:val="20"/>
          <w:szCs w:val="20"/>
        </w:rPr>
        <w:t>:</w:t>
      </w:r>
      <w:r w:rsidR="0021350F" w:rsidRPr="00923E21">
        <w:rPr>
          <w:rFonts w:ascii="Verdana" w:hAnsi="Verdana" w:cs="Arial"/>
          <w:sz w:val="20"/>
          <w:szCs w:val="20"/>
        </w:rPr>
        <w:t xml:space="preserve"> se determinará de acuerdo con la siguiente clasificación:</w:t>
      </w:r>
    </w:p>
    <w:p w14:paraId="25F4C60F" w14:textId="36E74A56" w:rsidR="0021350F" w:rsidRDefault="0021350F" w:rsidP="00F72C18">
      <w:pPr>
        <w:pStyle w:val="NormalWeb"/>
        <w:numPr>
          <w:ilvl w:val="0"/>
          <w:numId w:val="8"/>
        </w:numPr>
        <w:tabs>
          <w:tab w:val="left" w:pos="567"/>
        </w:tabs>
        <w:spacing w:before="0" w:beforeAutospacing="0" w:after="0" w:afterAutospacing="0"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Exposiciones contingentes irrevocables equivalentes a compromisos de crédito irrevocables, tales como las posiciones pasivas en operaciones del mercado monetario, entre otros. Estas contingencias tienen un factor de conversión crediticio del 100%.</w:t>
      </w:r>
    </w:p>
    <w:p w14:paraId="7E114883" w14:textId="77777777" w:rsidR="004E0D80" w:rsidRPr="00923E21" w:rsidRDefault="004E0D80" w:rsidP="004E0D80">
      <w:pPr>
        <w:pStyle w:val="NormalWeb"/>
        <w:tabs>
          <w:tab w:val="left" w:pos="567"/>
        </w:tabs>
        <w:spacing w:before="0" w:beforeAutospacing="0" w:after="0" w:afterAutospacing="0" w:line="0" w:lineRule="atLeast"/>
        <w:ind w:left="360"/>
        <w:jc w:val="both"/>
        <w:rPr>
          <w:rFonts w:ascii="Verdana" w:hAnsi="Verdana" w:cs="Arial"/>
          <w:color w:val="000000"/>
          <w:sz w:val="20"/>
          <w:szCs w:val="20"/>
        </w:rPr>
      </w:pPr>
    </w:p>
    <w:p w14:paraId="331DD38D" w14:textId="77777777" w:rsidR="00942B83" w:rsidRDefault="0021350F" w:rsidP="0021350F">
      <w:pPr>
        <w:pStyle w:val="NormalWeb"/>
        <w:numPr>
          <w:ilvl w:val="0"/>
          <w:numId w:val="8"/>
        </w:numPr>
        <w:tabs>
          <w:tab w:val="left" w:pos="2268"/>
        </w:tabs>
        <w:spacing w:before="0" w:beforeAutospacing="0" w:after="0" w:afterAutospacing="0"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Los contratos y contingencias revocables tienen un factor de conversión crediticio del 10%.</w:t>
      </w:r>
    </w:p>
    <w:p w14:paraId="5BD29C56" w14:textId="77777777" w:rsidR="00942B83" w:rsidRPr="007272DF" w:rsidRDefault="00942B83" w:rsidP="00942B83">
      <w:pPr>
        <w:pStyle w:val="NormalWeb"/>
        <w:tabs>
          <w:tab w:val="left" w:pos="2268"/>
        </w:tabs>
        <w:spacing w:before="0" w:beforeAutospacing="0" w:after="0" w:afterAutospacing="0" w:line="0" w:lineRule="atLeast"/>
        <w:jc w:val="both"/>
        <w:rPr>
          <w:rFonts w:ascii="Verdana" w:hAnsi="Verdana" w:cs="Arial"/>
          <w:bCs/>
          <w:sz w:val="20"/>
          <w:szCs w:val="20"/>
        </w:rPr>
      </w:pPr>
    </w:p>
    <w:p w14:paraId="04827672" w14:textId="33D54B92" w:rsidR="0021350F" w:rsidRDefault="007272DF" w:rsidP="007957D2">
      <w:pPr>
        <w:pStyle w:val="NormalWeb"/>
        <w:tabs>
          <w:tab w:val="left" w:pos="2268"/>
        </w:tabs>
        <w:spacing w:before="0" w:beforeAutospacing="0" w:after="0" w:afterAutospacing="0" w:line="0" w:lineRule="atLeast"/>
        <w:jc w:val="both"/>
        <w:rPr>
          <w:rFonts w:ascii="Verdana" w:hAnsi="Verdana" w:cs="Arial"/>
          <w:sz w:val="20"/>
          <w:szCs w:val="20"/>
        </w:rPr>
      </w:pPr>
      <m:oMath>
        <m:r>
          <w:rPr>
            <w:rFonts w:ascii="Cambria Math" w:hAnsi="Cambria Math" w:cs="Arial"/>
            <w:sz w:val="20"/>
            <w:szCs w:val="20"/>
          </w:rPr>
          <m:t>Ponderación por riesgo crediticio de la contraparte</m:t>
        </m:r>
      </m:oMath>
      <w:r w:rsidR="0021350F" w:rsidRPr="007272DF">
        <w:rPr>
          <w:rFonts w:ascii="Verdana" w:hAnsi="Verdana" w:cs="Arial"/>
          <w:bCs/>
          <w:sz w:val="20"/>
          <w:szCs w:val="20"/>
        </w:rPr>
        <w:t>:</w:t>
      </w:r>
      <w:r w:rsidR="0021350F" w:rsidRPr="00942B83">
        <w:rPr>
          <w:rFonts w:ascii="Verdana" w:hAnsi="Verdana" w:cs="Arial"/>
          <w:sz w:val="20"/>
          <w:szCs w:val="20"/>
        </w:rPr>
        <w:t xml:space="preserve"> corresponde al porcentaje de ponderación aplicable a la contraparte de la contingencia, en los términos del artículo 2.6.1.1.10 del Decreto 2555 de 2010 y las instrucciones sobre la ponderación particular de algunos activos del presente capítulo.</w:t>
      </w:r>
    </w:p>
    <w:p w14:paraId="3CB81000" w14:textId="77777777" w:rsidR="007957D2" w:rsidRPr="007957D2" w:rsidRDefault="007957D2" w:rsidP="007957D2">
      <w:pPr>
        <w:pStyle w:val="NormalWeb"/>
        <w:tabs>
          <w:tab w:val="left" w:pos="2268"/>
        </w:tabs>
        <w:spacing w:before="0" w:beforeAutospacing="0" w:after="0" w:afterAutospacing="0" w:line="0" w:lineRule="atLeast"/>
        <w:jc w:val="both"/>
        <w:rPr>
          <w:rFonts w:ascii="Verdana" w:hAnsi="Verdana" w:cs="Arial"/>
          <w:color w:val="000000"/>
          <w:sz w:val="20"/>
          <w:szCs w:val="20"/>
        </w:rPr>
      </w:pPr>
    </w:p>
    <w:p w14:paraId="1C06A52B" w14:textId="77777777" w:rsidR="0021350F" w:rsidRPr="00923E21" w:rsidRDefault="0021350F" w:rsidP="0021350F">
      <w:pPr>
        <w:pStyle w:val="Prrafodelista"/>
        <w:spacing w:line="0" w:lineRule="atLeast"/>
        <w:ind w:left="0"/>
        <w:jc w:val="center"/>
        <w:rPr>
          <w:rFonts w:ascii="Verdana" w:hAnsi="Verdana" w:cs="Arial"/>
          <w:sz w:val="20"/>
          <w:szCs w:val="20"/>
        </w:rPr>
      </w:pPr>
      <m:oMath>
        <m:r>
          <w:rPr>
            <w:rFonts w:ascii="Cambria Math" w:hAnsi="Cambria Math" w:cs="Arial"/>
            <w:sz w:val="20"/>
            <w:szCs w:val="20"/>
          </w:rPr>
          <m:t xml:space="preserve">Z=Exposición Créditicia Ponderada </m:t>
        </m:r>
      </m:oMath>
      <w:r w:rsidRPr="00923E21">
        <w:rPr>
          <w:rFonts w:ascii="Verdana" w:hAnsi="Verdana" w:cs="Arial"/>
          <w:sz w:val="20"/>
          <w:szCs w:val="20"/>
        </w:rPr>
        <w:t xml:space="preserve"> </w:t>
      </w:r>
    </w:p>
    <w:p w14:paraId="45FB2D79"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06C16965" w14:textId="136A6019" w:rsidR="0021350F" w:rsidRPr="00923E21" w:rsidRDefault="007272DF" w:rsidP="0021350F">
      <w:pPr>
        <w:pStyle w:val="Prrafodelista"/>
        <w:spacing w:line="0" w:lineRule="atLeast"/>
        <w:ind w:left="0"/>
        <w:jc w:val="both"/>
        <w:rPr>
          <w:rFonts w:ascii="Verdana" w:hAnsi="Verdana" w:cs="Arial"/>
          <w:sz w:val="20"/>
          <w:szCs w:val="20"/>
        </w:rPr>
      </w:pPr>
      <m:oMath>
        <m:r>
          <w:rPr>
            <w:rFonts w:ascii="Cambria Math" w:hAnsi="Cambria Math" w:cs="Arial"/>
            <w:sz w:val="20"/>
            <w:szCs w:val="20"/>
          </w:rPr>
          <m:t>Exposición Créditicia Ponderada</m:t>
        </m:r>
      </m:oMath>
      <w:r w:rsidR="0021350F" w:rsidRPr="007272DF">
        <w:rPr>
          <w:rFonts w:ascii="Verdana" w:hAnsi="Verdana" w:cs="Arial"/>
          <w:bCs/>
          <w:sz w:val="20"/>
          <w:szCs w:val="20"/>
        </w:rPr>
        <w:t>:</w:t>
      </w:r>
      <w:r w:rsidR="0021350F" w:rsidRPr="00923E21">
        <w:rPr>
          <w:rFonts w:ascii="Verdana" w:hAnsi="Verdana" w:cs="Arial"/>
          <w:sz w:val="20"/>
          <w:szCs w:val="20"/>
        </w:rPr>
        <w:t xml:space="preserve"> </w:t>
      </w:r>
      <w:r>
        <w:rPr>
          <w:rFonts w:ascii="Verdana" w:hAnsi="Verdana" w:cs="Arial"/>
          <w:sz w:val="20"/>
          <w:szCs w:val="20"/>
        </w:rPr>
        <w:t>s</w:t>
      </w:r>
      <w:r w:rsidR="0021350F" w:rsidRPr="00923E21">
        <w:rPr>
          <w:rFonts w:ascii="Verdana" w:hAnsi="Verdana" w:cs="Arial"/>
          <w:sz w:val="20"/>
          <w:szCs w:val="20"/>
        </w:rPr>
        <w:t>e calcula como el producto de la exposición crediticia en instrumentos financieros derivados que no correspondan a operaciones apalancadas de acuerdo con los parágrafos del artículo 3.1.1.5.1 del Decreto 2555 de 2010, por el ponderador de riesgo aplicable a la contraparte, conforme al presente capítulo y al artículo 2.6.1.1.10 del Decreto 2555 de 2010. La exposición crediticia se debe determinar de acuerdo con las instrucciones de</w:t>
      </w:r>
      <w:r w:rsidR="007957D2">
        <w:rPr>
          <w:rFonts w:ascii="Verdana" w:hAnsi="Verdana" w:cs="Arial"/>
          <w:sz w:val="20"/>
          <w:szCs w:val="20"/>
        </w:rPr>
        <w:t xml:space="preserve">l capítulo 5 </w:t>
      </w:r>
      <w:r w:rsidR="00141425">
        <w:rPr>
          <w:rFonts w:ascii="Verdana" w:hAnsi="Verdana" w:cs="Arial"/>
          <w:sz w:val="20"/>
          <w:szCs w:val="20"/>
        </w:rPr>
        <w:t xml:space="preserve">de la parte 3 de la CBRAPIF. </w:t>
      </w:r>
    </w:p>
    <w:p w14:paraId="6D585202" w14:textId="2349B024"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39</w:t>
      </w:r>
      <w:r w:rsidRPr="00A2626A">
        <w:rPr>
          <w:rFonts w:ascii="Verdana" w:hAnsi="Verdana" w:cs="Arial"/>
          <w:bCs/>
          <w:sz w:val="20"/>
          <w:szCs w:val="20"/>
        </w:rPr>
        <w:t>.</w:t>
      </w:r>
    </w:p>
    <w:p w14:paraId="03DBE33D" w14:textId="77777777" w:rsidR="0021350F" w:rsidRPr="00923E21" w:rsidRDefault="0021350F" w:rsidP="0050A195">
      <w:pPr>
        <w:spacing w:line="0" w:lineRule="atLeast"/>
        <w:jc w:val="both"/>
        <w:rPr>
          <w:rFonts w:ascii="Verdana" w:hAnsi="Verdana" w:cs="Arial"/>
          <w:sz w:val="20"/>
          <w:szCs w:val="20"/>
        </w:rPr>
      </w:pPr>
      <w:r w:rsidRPr="0050A195">
        <w:rPr>
          <w:rFonts w:ascii="Verdana" w:hAnsi="Verdana" w:cs="Arial"/>
          <w:sz w:val="20"/>
          <w:szCs w:val="20"/>
        </w:rPr>
        <w:t>El método de ponderación directa solo se podrá utilizar cuando la entidad cumpla con las siguientes condiciones: (i) la política de inversión no permita realizar operaciones apalancadas; (ii) cuente con información suficiente y frecuente sobre la composición de los activos subyacentes y la estructura financiera del fondo o patrimonio autónomo y (iii) la información del fondo o patrimonio autónomo requerida para la aplicación del método sea verificada frecuentemente por uno o varios terceros independientes. Esta verificación podrá ser realizada por el custodio, depósito de valores o sociedad gestora externa, extranjera o externa no vigilada, según corresponda.</w:t>
      </w:r>
    </w:p>
    <w:p w14:paraId="5CF71C09" w14:textId="4E8E2891"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40</w:t>
      </w:r>
      <w:r w:rsidRPr="00A2626A">
        <w:rPr>
          <w:rFonts w:ascii="Verdana" w:hAnsi="Verdana" w:cs="Arial"/>
          <w:bCs/>
          <w:sz w:val="20"/>
          <w:szCs w:val="20"/>
        </w:rPr>
        <w:t>.</w:t>
      </w:r>
    </w:p>
    <w:p w14:paraId="76CAAB0D" w14:textId="77777777" w:rsidR="007272DF" w:rsidRDefault="0021350F" w:rsidP="0050A195">
      <w:pPr>
        <w:spacing w:line="0" w:lineRule="atLeast"/>
        <w:jc w:val="both"/>
        <w:rPr>
          <w:rFonts w:ascii="Verdana" w:hAnsi="Verdana" w:cs="Arial"/>
          <w:sz w:val="20"/>
          <w:szCs w:val="20"/>
        </w:rPr>
      </w:pPr>
      <w:r w:rsidRPr="0050A195">
        <w:rPr>
          <w:rFonts w:ascii="Verdana" w:hAnsi="Verdana" w:cs="Arial"/>
          <w:sz w:val="20"/>
          <w:szCs w:val="20"/>
        </w:rPr>
        <w:t>Para garantizar la información de los diferentes elementos del fondo o patrimonio autónomo la entidad requiere conocer como mínimo los siguientes aspectos, los cuales deberán estar a disposición de la SFC:</w:t>
      </w:r>
    </w:p>
    <w:p w14:paraId="59C5B02E" w14:textId="77777777" w:rsidR="007845F2" w:rsidRDefault="007845F2" w:rsidP="007272DF">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7272DF">
        <w:rPr>
          <w:rFonts w:ascii="Verdana" w:hAnsi="Verdana" w:cs="Arial"/>
          <w:sz w:val="20"/>
          <w:szCs w:val="20"/>
        </w:rPr>
        <w:t>l valor total de los activos bajo administración del fondo o patrimonio autónomo</w:t>
      </w:r>
      <w:r>
        <w:rPr>
          <w:rFonts w:ascii="Verdana" w:hAnsi="Verdana" w:cs="Arial"/>
          <w:sz w:val="20"/>
          <w:szCs w:val="20"/>
        </w:rPr>
        <w:t>.</w:t>
      </w:r>
      <w:r w:rsidR="00D80BF9" w:rsidRPr="007272DF">
        <w:rPr>
          <w:rFonts w:ascii="Verdana" w:hAnsi="Verdana" w:cs="Arial"/>
          <w:sz w:val="20"/>
          <w:szCs w:val="20"/>
        </w:rPr>
        <w:t xml:space="preserve"> </w:t>
      </w:r>
    </w:p>
    <w:p w14:paraId="2063D4FB" w14:textId="77777777" w:rsidR="007845F2" w:rsidRDefault="007845F2" w:rsidP="007845F2">
      <w:pPr>
        <w:pStyle w:val="Prrafodelista"/>
        <w:spacing w:line="0" w:lineRule="atLeast"/>
        <w:ind w:left="567"/>
        <w:jc w:val="both"/>
        <w:rPr>
          <w:rFonts w:ascii="Verdana" w:hAnsi="Verdana" w:cs="Arial"/>
          <w:sz w:val="20"/>
          <w:szCs w:val="20"/>
        </w:rPr>
      </w:pPr>
    </w:p>
    <w:p w14:paraId="1EDAC757" w14:textId="77777777" w:rsidR="007845F2" w:rsidRDefault="007845F2" w:rsidP="007272DF">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7272DF">
        <w:rPr>
          <w:rFonts w:ascii="Verdana" w:hAnsi="Verdana" w:cs="Arial"/>
          <w:sz w:val="20"/>
          <w:szCs w:val="20"/>
        </w:rPr>
        <w:t>l valor de los pasivos del fondo o patrimonio autónomo</w:t>
      </w:r>
      <w:r>
        <w:rPr>
          <w:rFonts w:ascii="Verdana" w:hAnsi="Verdana" w:cs="Arial"/>
          <w:sz w:val="20"/>
          <w:szCs w:val="20"/>
        </w:rPr>
        <w:t xml:space="preserve">. </w:t>
      </w:r>
    </w:p>
    <w:p w14:paraId="4A1E2800" w14:textId="77777777" w:rsidR="007845F2" w:rsidRPr="007845F2" w:rsidRDefault="007845F2" w:rsidP="007845F2">
      <w:pPr>
        <w:pStyle w:val="Prrafodelista"/>
        <w:rPr>
          <w:rFonts w:ascii="Verdana" w:hAnsi="Verdana" w:cs="Arial"/>
          <w:sz w:val="20"/>
          <w:szCs w:val="20"/>
        </w:rPr>
      </w:pPr>
    </w:p>
    <w:p w14:paraId="4358705B" w14:textId="77777777" w:rsidR="007845F2" w:rsidRDefault="007845F2" w:rsidP="007272DF">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7272DF">
        <w:rPr>
          <w:rFonts w:ascii="Verdana" w:hAnsi="Verdana" w:cs="Arial"/>
          <w:sz w:val="20"/>
          <w:szCs w:val="20"/>
        </w:rPr>
        <w:t>l valor del patrimonio del fondo o patrimonio autónomo</w:t>
      </w:r>
      <w:r>
        <w:rPr>
          <w:rFonts w:ascii="Verdana" w:hAnsi="Verdana" w:cs="Arial"/>
          <w:sz w:val="20"/>
          <w:szCs w:val="20"/>
        </w:rPr>
        <w:t>.</w:t>
      </w:r>
      <w:r w:rsidR="00D80BF9" w:rsidRPr="007272DF">
        <w:rPr>
          <w:rFonts w:ascii="Verdana" w:hAnsi="Verdana" w:cs="Arial"/>
          <w:sz w:val="20"/>
          <w:szCs w:val="20"/>
        </w:rPr>
        <w:t xml:space="preserve"> </w:t>
      </w:r>
    </w:p>
    <w:p w14:paraId="32DB3E5B" w14:textId="77777777" w:rsidR="007845F2" w:rsidRPr="007845F2" w:rsidRDefault="007845F2" w:rsidP="007845F2">
      <w:pPr>
        <w:pStyle w:val="Prrafodelista"/>
        <w:rPr>
          <w:rFonts w:ascii="Verdana" w:hAnsi="Verdana" w:cs="Arial"/>
          <w:sz w:val="20"/>
          <w:szCs w:val="20"/>
        </w:rPr>
      </w:pPr>
    </w:p>
    <w:p w14:paraId="2030C603" w14:textId="77777777" w:rsidR="007845F2" w:rsidRDefault="007845F2" w:rsidP="007272DF">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P</w:t>
      </w:r>
      <w:r w:rsidR="0021350F" w:rsidRPr="007272DF">
        <w:rPr>
          <w:rFonts w:ascii="Verdana" w:hAnsi="Verdana" w:cs="Arial"/>
          <w:sz w:val="20"/>
          <w:szCs w:val="20"/>
        </w:rPr>
        <w:t>orcentaje de participación de la AFP en el fondo o el patrimonio autónomo</w:t>
      </w:r>
      <w:r>
        <w:rPr>
          <w:rFonts w:ascii="Verdana" w:hAnsi="Verdana" w:cs="Arial"/>
          <w:sz w:val="20"/>
          <w:szCs w:val="20"/>
        </w:rPr>
        <w:t>.</w:t>
      </w:r>
    </w:p>
    <w:p w14:paraId="0A29334A" w14:textId="77777777" w:rsidR="007845F2" w:rsidRPr="007845F2" w:rsidRDefault="007845F2" w:rsidP="007845F2">
      <w:pPr>
        <w:pStyle w:val="Prrafodelista"/>
        <w:rPr>
          <w:rFonts w:ascii="Verdana" w:hAnsi="Verdana" w:cs="Arial"/>
          <w:sz w:val="20"/>
          <w:szCs w:val="20"/>
        </w:rPr>
      </w:pPr>
    </w:p>
    <w:p w14:paraId="683DC9A4" w14:textId="77777777" w:rsidR="007845F2" w:rsidRDefault="007845F2" w:rsidP="007272DF">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C</w:t>
      </w:r>
      <w:r w:rsidR="0021350F" w:rsidRPr="007272DF">
        <w:rPr>
          <w:rFonts w:ascii="Verdana" w:hAnsi="Verdana" w:cs="Arial"/>
          <w:sz w:val="20"/>
          <w:szCs w:val="20"/>
        </w:rPr>
        <w:t>ondiciones contractuales o características faciales de los activos subyacentes</w:t>
      </w:r>
      <w:r>
        <w:rPr>
          <w:rFonts w:ascii="Verdana" w:hAnsi="Verdana" w:cs="Arial"/>
          <w:sz w:val="20"/>
          <w:szCs w:val="20"/>
        </w:rPr>
        <w:t>.</w:t>
      </w:r>
    </w:p>
    <w:p w14:paraId="256D865A" w14:textId="77777777" w:rsidR="007845F2" w:rsidRPr="007845F2" w:rsidRDefault="007845F2" w:rsidP="007845F2">
      <w:pPr>
        <w:pStyle w:val="Prrafodelista"/>
        <w:rPr>
          <w:rFonts w:ascii="Verdana" w:hAnsi="Verdana" w:cs="Arial"/>
          <w:sz w:val="20"/>
          <w:szCs w:val="20"/>
        </w:rPr>
      </w:pPr>
    </w:p>
    <w:p w14:paraId="7EC994AA" w14:textId="3BCEF189" w:rsidR="0021350F" w:rsidRPr="007272DF" w:rsidRDefault="007845F2" w:rsidP="007272DF">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D</w:t>
      </w:r>
      <w:r w:rsidR="0021350F" w:rsidRPr="007272DF">
        <w:rPr>
          <w:rFonts w:ascii="Verdana" w:hAnsi="Verdana" w:cs="Arial"/>
          <w:sz w:val="20"/>
          <w:szCs w:val="20"/>
        </w:rPr>
        <w:t xml:space="preserve">etalle de los activos, contrapartes, colaterales financieros admisibles y calificación de riesgo crediticio para cada uno de los activos. </w:t>
      </w:r>
    </w:p>
    <w:p w14:paraId="279C64CB" w14:textId="77777777" w:rsidR="004E6371" w:rsidRDefault="004E6371" w:rsidP="004E6371">
      <w:pPr>
        <w:pStyle w:val="Prrafodelista"/>
        <w:tabs>
          <w:tab w:val="left" w:pos="1701"/>
        </w:tabs>
        <w:spacing w:line="0" w:lineRule="atLeast"/>
        <w:jc w:val="both"/>
        <w:rPr>
          <w:rFonts w:ascii="Verdana" w:hAnsi="Verdana" w:cs="Arial"/>
          <w:b/>
          <w:bCs/>
          <w:sz w:val="20"/>
          <w:szCs w:val="20"/>
        </w:rPr>
      </w:pPr>
    </w:p>
    <w:p w14:paraId="79B90BF4" w14:textId="7CF6EAD8" w:rsidR="0021350F" w:rsidRPr="004E6371" w:rsidRDefault="0021350F" w:rsidP="004E6371">
      <w:pPr>
        <w:pStyle w:val="Prrafodelista"/>
        <w:numPr>
          <w:ilvl w:val="0"/>
          <w:numId w:val="21"/>
        </w:numPr>
        <w:tabs>
          <w:tab w:val="left" w:pos="1701"/>
        </w:tabs>
        <w:spacing w:line="0" w:lineRule="atLeast"/>
        <w:ind w:left="284" w:hanging="284"/>
        <w:jc w:val="both"/>
        <w:rPr>
          <w:rFonts w:ascii="Verdana" w:hAnsi="Verdana" w:cs="Arial"/>
          <w:b/>
          <w:bCs/>
          <w:sz w:val="20"/>
          <w:szCs w:val="20"/>
        </w:rPr>
      </w:pPr>
      <w:r w:rsidRPr="004E6371">
        <w:rPr>
          <w:rFonts w:ascii="Verdana" w:hAnsi="Verdana" w:cs="Arial"/>
          <w:b/>
          <w:bCs/>
          <w:sz w:val="20"/>
          <w:szCs w:val="20"/>
        </w:rPr>
        <w:t>Ponderación por mandato</w:t>
      </w:r>
    </w:p>
    <w:p w14:paraId="11BF6646" w14:textId="3E56592A"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41</w:t>
      </w:r>
      <w:r w:rsidRPr="00A2626A">
        <w:rPr>
          <w:rFonts w:ascii="Verdana" w:hAnsi="Verdana" w:cs="Arial"/>
          <w:bCs/>
          <w:sz w:val="20"/>
          <w:szCs w:val="20"/>
        </w:rPr>
        <w:t>.</w:t>
      </w:r>
    </w:p>
    <w:p w14:paraId="3C617E5B" w14:textId="77777777" w:rsidR="0021350F" w:rsidRDefault="0021350F" w:rsidP="0021350F">
      <w:pPr>
        <w:spacing w:line="0" w:lineRule="atLeast"/>
        <w:jc w:val="both"/>
        <w:rPr>
          <w:rFonts w:ascii="Verdana" w:hAnsi="Verdana" w:cs="Arial"/>
          <w:sz w:val="20"/>
          <w:szCs w:val="20"/>
        </w:rPr>
      </w:pPr>
      <w:r w:rsidRPr="00923E21">
        <w:rPr>
          <w:rFonts w:ascii="Verdana" w:hAnsi="Verdana" w:cs="Arial"/>
          <w:sz w:val="20"/>
          <w:szCs w:val="20"/>
        </w:rPr>
        <w:t>Este método se debe aplicar para calcular los requisitos de capital cuando el fondo o patrimonio autónomo no cumpla con las condiciones del método de ponderación directa, pero cuenta con una política de inversión pública contenida en el mandato, en el marco regulatorio, o en los reglamentos. En este caso, la política de inversión debe establecer las clases de activos admisibles y su máxima exposición a cada clase de activo.</w:t>
      </w:r>
    </w:p>
    <w:p w14:paraId="45B370FD" w14:textId="77777777" w:rsidR="00070B87" w:rsidRPr="00923E21" w:rsidRDefault="00070B87" w:rsidP="0021350F">
      <w:pPr>
        <w:spacing w:line="0" w:lineRule="atLeast"/>
        <w:jc w:val="both"/>
        <w:rPr>
          <w:rFonts w:ascii="Verdana" w:hAnsi="Verdana" w:cs="Arial"/>
          <w:sz w:val="20"/>
          <w:szCs w:val="20"/>
        </w:rPr>
      </w:pPr>
    </w:p>
    <w:p w14:paraId="11A77DB2" w14:textId="1A52BA42"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lastRenderedPageBreak/>
        <w:t>2.4.3.</w:t>
      </w:r>
      <w:r>
        <w:rPr>
          <w:rFonts w:ascii="Verdana" w:hAnsi="Verdana" w:cs="Arial"/>
          <w:bCs/>
          <w:sz w:val="20"/>
          <w:szCs w:val="20"/>
        </w:rPr>
        <w:t>42</w:t>
      </w:r>
      <w:r w:rsidRPr="00A2626A">
        <w:rPr>
          <w:rFonts w:ascii="Verdana" w:hAnsi="Verdana" w:cs="Arial"/>
          <w:bCs/>
          <w:sz w:val="20"/>
          <w:szCs w:val="20"/>
        </w:rPr>
        <w:t>.</w:t>
      </w:r>
    </w:p>
    <w:p w14:paraId="46DC6252"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establecer los activos ponderados por riesgo para cada clase de activos del fondo o patrimonio autónomo, la entidad deberá aplicar al valor total de cada clase de activos el ponderador más alto en los casos en que pueda aplicar más de una ponderación, empezando por los instrumentos con la ponderación más alta, hasta cubrir la totalidad del fondo o patrimonio autónomo con las ponderaciones más altas posibles. </w:t>
      </w:r>
    </w:p>
    <w:p w14:paraId="72C02FD2" w14:textId="1C3CE5BC"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43</w:t>
      </w:r>
      <w:r w:rsidRPr="00A2626A">
        <w:rPr>
          <w:rFonts w:ascii="Verdana" w:hAnsi="Verdana" w:cs="Arial"/>
          <w:bCs/>
          <w:sz w:val="20"/>
          <w:szCs w:val="20"/>
        </w:rPr>
        <w:t>.</w:t>
      </w:r>
    </w:p>
    <w:p w14:paraId="5D96D25A" w14:textId="4024E9A8"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garantizar que la entidad tenga en cuenta todos los riesgos subyacentes (incluido el factor de conversión crediticio de las exposiciones contingentes, que no generan apalancamiento), los APNR para las exposiciones del fondo o patrimonio autónomo se deben calcular como la suma de los requerimientos </w:t>
      </w:r>
      <m:oMath>
        <m:r>
          <w:rPr>
            <w:rFonts w:ascii="Cambria Math" w:hAnsi="Cambria Math" w:cs="Arial"/>
            <w:sz w:val="20"/>
            <w:szCs w:val="20"/>
          </w:rPr>
          <m:t>X</m:t>
        </m:r>
      </m:oMath>
      <w:r w:rsidRPr="00923E21">
        <w:rPr>
          <w:rFonts w:ascii="Verdana" w:hAnsi="Verdana" w:cs="Arial"/>
          <w:sz w:val="20"/>
          <w:szCs w:val="20"/>
        </w:rPr>
        <w:t xml:space="preserve">, </w:t>
      </w:r>
      <m:oMath>
        <m:r>
          <w:rPr>
            <w:rFonts w:ascii="Cambria Math" w:hAnsi="Cambria Math" w:cs="Arial"/>
            <w:sz w:val="20"/>
            <w:szCs w:val="20"/>
          </w:rPr>
          <m:t>Y</m:t>
        </m:r>
      </m:oMath>
      <w:r w:rsidRPr="00923E21">
        <w:rPr>
          <w:rFonts w:ascii="Verdana" w:hAnsi="Verdana" w:cs="Arial"/>
          <w:sz w:val="20"/>
          <w:szCs w:val="20"/>
        </w:rPr>
        <w:t xml:space="preserve">, </w:t>
      </w:r>
      <m:oMath>
        <m:r>
          <w:rPr>
            <w:rFonts w:ascii="Cambria Math" w:hAnsi="Cambria Math" w:cs="Arial"/>
            <w:sz w:val="20"/>
            <w:szCs w:val="20"/>
          </w:rPr>
          <m:t>Z,</m:t>
        </m:r>
      </m:oMath>
      <w:r w:rsidRPr="00923E21">
        <w:rPr>
          <w:rFonts w:ascii="Verdana" w:hAnsi="Verdana" w:cs="Arial"/>
          <w:sz w:val="20"/>
          <w:szCs w:val="20"/>
        </w:rPr>
        <w:t xml:space="preserve"> aplicando la siguiente expresión:</w:t>
      </w:r>
    </w:p>
    <w:p w14:paraId="7E109CB6"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APNR</m:t>
              </m:r>
            </m:e>
            <m:sub>
              <m:r>
                <w:rPr>
                  <w:rFonts w:ascii="Cambria Math" w:hAnsi="Cambria Math" w:cs="Arial"/>
                  <w:sz w:val="20"/>
                  <w:szCs w:val="20"/>
                </w:rPr>
                <m:t>a</m:t>
              </m:r>
            </m:sub>
          </m:sSub>
          <m:r>
            <w:rPr>
              <w:rFonts w:ascii="Cambria Math" w:hAnsi="Cambria Math" w:cs="Arial"/>
              <w:sz w:val="20"/>
              <w:szCs w:val="20"/>
            </w:rPr>
            <m: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X+Y+Z</m:t>
                  </m:r>
                </m:num>
                <m:den>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e>
          </m:d>
        </m:oMath>
      </m:oMathPara>
    </w:p>
    <w:p w14:paraId="1297A518"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0659FF9F" w14:textId="3F4AD34F" w:rsidR="0021350F" w:rsidRPr="00923E21" w:rsidRDefault="00E11761" w:rsidP="0021350F">
      <w:pPr>
        <w:spacing w:line="0" w:lineRule="atLeast"/>
        <w:jc w:val="both"/>
        <w:rPr>
          <w:rFonts w:ascii="Verdana" w:hAnsi="Verdana" w:cs="Arial"/>
          <w:sz w:val="20"/>
          <w:szCs w:val="20"/>
        </w:rPr>
      </w:pPr>
      <m:oMath>
        <m:r>
          <w:rPr>
            <w:rFonts w:ascii="Cambria Math" w:hAnsi="Cambria Math" w:cs="Arial"/>
            <w:sz w:val="20"/>
            <w:szCs w:val="20"/>
          </w:rPr>
          <m:t>a</m:t>
        </m:r>
      </m:oMath>
      <w:r w:rsidR="0021350F" w:rsidRPr="00E11761">
        <w:rPr>
          <w:rFonts w:ascii="Verdana" w:hAnsi="Verdana" w:cs="Arial"/>
          <w:bCs/>
          <w:sz w:val="20"/>
          <w:szCs w:val="20"/>
        </w:rPr>
        <w:t>:</w:t>
      </w:r>
      <w:r w:rsidR="0021350F" w:rsidRPr="00923E21">
        <w:rPr>
          <w:rFonts w:ascii="Verdana" w:hAnsi="Verdana" w:cs="Arial"/>
          <w:sz w:val="20"/>
          <w:szCs w:val="20"/>
        </w:rPr>
        <w:t xml:space="preserve"> corresponde al fondo o patrimonio autónomo para el que se realiza el cálculo.</w:t>
      </w:r>
    </w:p>
    <w:p w14:paraId="128D951F" w14:textId="7B2A4A82" w:rsidR="0021350F" w:rsidRPr="00923E21" w:rsidRDefault="00E11761" w:rsidP="0050A195">
      <w:pPr>
        <w:spacing w:line="0" w:lineRule="atLeast"/>
        <w:jc w:val="both"/>
        <w:rPr>
          <w:rFonts w:ascii="Verdana" w:hAnsi="Verdana" w:cs="Arial"/>
          <w:sz w:val="20"/>
          <w:szCs w:val="20"/>
        </w:rPr>
      </w:pPr>
      <m:oMath>
        <m:r>
          <w:rPr>
            <w:rFonts w:ascii="Cambria Math" w:hAnsi="Cambria Math" w:cs="Arial"/>
            <w:sz w:val="20"/>
            <w:szCs w:val="20"/>
          </w:rPr>
          <m:t>X</m:t>
        </m:r>
      </m:oMath>
      <w:r w:rsidR="0021350F" w:rsidRPr="00E11761">
        <w:rPr>
          <w:rFonts w:ascii="Verdana" w:hAnsi="Verdana" w:cs="Arial"/>
          <w:bCs/>
          <w:sz w:val="20"/>
          <w:szCs w:val="20"/>
        </w:rPr>
        <w:t>:</w:t>
      </w:r>
      <w:r w:rsidR="0021350F" w:rsidRPr="0050A195">
        <w:rPr>
          <w:rFonts w:ascii="Verdana" w:hAnsi="Verdana" w:cs="Arial"/>
          <w:sz w:val="20"/>
          <w:szCs w:val="20"/>
        </w:rPr>
        <w:t xml:space="preserve"> corresponde a los requerimientos por las exposiciones del balance (activos del fondo o del patrimonio autónomo), para lo cual se debe asumir que se tienen exposiciones por el máximo porcentaje de exposición permitido de acuerdo con la política de inversión, y que a estas exposiciones les corresponde el máximo ponderador de riesgo posible aplicable para cada clase de activo. Para las inversiones de un fondo o patrimonio autónomo en otro fondo de inversión o patrimonio, el ponderador aplicable a la inversión será el máximo ponderador que sea aplicable al fondo o patrimonio destinatario de la inversión, bajo cualquiera de los métodos previstos en el presente capítulo, siempre que se cumplan todos los requisitos para aplicar el respectivo método al fondo o patrimonio destinatario de la inversión.</w:t>
      </w:r>
    </w:p>
    <w:p w14:paraId="45274B0D" w14:textId="67DD3AEB" w:rsidR="0021350F" w:rsidRPr="00923E21" w:rsidRDefault="00E11761" w:rsidP="0021350F">
      <w:pPr>
        <w:spacing w:line="0" w:lineRule="atLeast"/>
        <w:jc w:val="both"/>
        <w:rPr>
          <w:rFonts w:ascii="Verdana" w:hAnsi="Verdana" w:cs="Arial"/>
          <w:sz w:val="20"/>
          <w:szCs w:val="20"/>
        </w:rPr>
      </w:pPr>
      <m:oMath>
        <m:r>
          <w:rPr>
            <w:rFonts w:ascii="Cambria Math" w:hAnsi="Cambria Math" w:cs="Arial"/>
            <w:sz w:val="20"/>
            <w:szCs w:val="20"/>
          </w:rPr>
          <m:t>Y</m:t>
        </m:r>
      </m:oMath>
      <w:r w:rsidR="0021350F" w:rsidRPr="00E11761">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fuera de balance (cuentas contingentes), que se determinan multiplicando el monto nominal de las contingencias por el factor de conversión crediticio correspondiente. Para los efectos de esta norma, solo se podrán considerar aquellas operaciones contingentes que no representen una operación apalancada, dentro de las que se encuentran las operaciones definidas en los parágrafos del artículo 3.1.1.5.1 del Decreto 2555 de 2010 o la norma que lo modifique o sustituya.</w:t>
      </w:r>
    </w:p>
    <w:p w14:paraId="63515883" w14:textId="4602AFDD" w:rsidR="0021350F" w:rsidRPr="00923E21" w:rsidRDefault="00E11761" w:rsidP="0021350F">
      <w:pPr>
        <w:spacing w:line="0" w:lineRule="atLeast"/>
        <w:jc w:val="both"/>
        <w:rPr>
          <w:rFonts w:ascii="Verdana" w:hAnsi="Verdana" w:cs="Arial"/>
          <w:sz w:val="20"/>
          <w:szCs w:val="20"/>
        </w:rPr>
      </w:pPr>
      <m:oMath>
        <m:r>
          <w:rPr>
            <w:rFonts w:ascii="Cambria Math" w:hAnsi="Cambria Math" w:cs="Arial"/>
            <w:sz w:val="20"/>
            <w:szCs w:val="20"/>
          </w:rPr>
          <m:t>Z</m:t>
        </m:r>
      </m:oMath>
      <w:r w:rsidR="0021350F" w:rsidRPr="00E11761">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en instrumentos financieros derivados, cuando el fondo o el patrimonio autónomo tenga permitido realizar operaciones sobre estos instrumentos. Para los efectos de esta norma, solo se podrán considerar aquellas operaciones con instrumentos financieros derivados que no representen una operación apalancada según lo establecido en los parágrafos del artículo 3.1.1.5.1 del Decreto 2555 de 2010 o la norma que lo modifique o sustituya.</w:t>
      </w:r>
    </w:p>
    <w:p w14:paraId="7A35A6CB" w14:textId="44DC4954" w:rsidR="0021350F" w:rsidRPr="00923E21" w:rsidRDefault="00E11761" w:rsidP="0021350F">
      <w:pPr>
        <w:spacing w:line="0" w:lineRule="atLeast"/>
        <w:jc w:val="both"/>
        <w:rPr>
          <w:rFonts w:ascii="Verdana" w:hAnsi="Verdana" w:cs="Arial"/>
          <w:sz w:val="20"/>
          <w:szCs w:val="20"/>
        </w:rPr>
      </w:pPr>
      <m:oMath>
        <m:r>
          <w:rPr>
            <w:rFonts w:ascii="Cambria Math" w:hAnsi="Cambria Math" w:cs="Arial"/>
            <w:sz w:val="20"/>
            <w:szCs w:val="20"/>
          </w:rPr>
          <m:t>T.</m:t>
        </m:r>
        <m:sSub>
          <m:sSubPr>
            <m:ctrlPr>
              <w:rPr>
                <w:rFonts w:ascii="Cambria Math" w:hAnsi="Cambria Math" w:cs="Arial"/>
                <w:bCs/>
                <w:i/>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E11761">
        <w:rPr>
          <w:rFonts w:ascii="Verdana" w:hAnsi="Verdana" w:cs="Arial"/>
          <w:bCs/>
          <w:sz w:val="20"/>
          <w:szCs w:val="20"/>
        </w:rPr>
        <w:t>:</w:t>
      </w:r>
      <w:r w:rsidR="0021350F" w:rsidRPr="00923E21">
        <w:rPr>
          <w:rFonts w:ascii="Verdana" w:hAnsi="Verdana" w:cs="Arial"/>
          <w:sz w:val="20"/>
          <w:szCs w:val="20"/>
        </w:rPr>
        <w:t xml:space="preserve"> corresponde al valor total de los activos bajo administración del fondo o del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106AD210" w14:textId="75C92E2F"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w:r w:rsidR="0021350F" w:rsidRPr="00E11761">
        <w:rPr>
          <w:rFonts w:ascii="Verdana" w:hAnsi="Verdana" w:cs="Arial"/>
          <w:sz w:val="20"/>
          <w:szCs w:val="20"/>
        </w:rPr>
        <w:t xml:space="preserve">: </w:t>
      </w:r>
      <w:r w:rsidR="0021350F" w:rsidRPr="00923E21">
        <w:rPr>
          <w:rFonts w:ascii="Verdana" w:hAnsi="Verdana" w:cs="Arial"/>
          <w:sz w:val="20"/>
          <w:szCs w:val="20"/>
        </w:rPr>
        <w:t xml:space="preserve">corresponde al valor de la participación de la AFP en 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como:</w:t>
      </w:r>
    </w:p>
    <w:p w14:paraId="6D0970B3"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r>
            <w:rPr>
              <w:rFonts w:ascii="Cambria Math" w:hAnsi="Cambria Math" w:cs="Arial"/>
              <w:sz w:val="20"/>
              <w:szCs w:val="20"/>
            </w:rPr>
            <m:t>*%participación</m:t>
          </m:r>
        </m:oMath>
      </m:oMathPara>
    </w:p>
    <w:p w14:paraId="694AF036" w14:textId="3AD3576A"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7AEE250D" w14:textId="6FC9FC3E" w:rsidR="0021350F" w:rsidRPr="00923E21" w:rsidRDefault="00E11761" w:rsidP="0021350F">
      <w:pPr>
        <w:spacing w:line="0" w:lineRule="atLeast"/>
        <w:jc w:val="both"/>
        <w:rPr>
          <w:rFonts w:ascii="Verdana" w:hAnsi="Verdana" w:cs="Arial"/>
          <w:sz w:val="20"/>
          <w:szCs w:val="20"/>
        </w:rPr>
      </w:pPr>
      <m:oMath>
        <m:r>
          <w:rPr>
            <w:rFonts w:ascii="Cambria Math" w:hAnsi="Cambria Math" w:cs="Arial"/>
            <w:sz w:val="20"/>
            <w:szCs w:val="20"/>
          </w:rPr>
          <m:t>%participación</m:t>
        </m:r>
      </m:oMath>
      <w:r w:rsidR="0021350F" w:rsidRPr="00E11761">
        <w:rPr>
          <w:rFonts w:ascii="Verdana" w:hAnsi="Verdana" w:cs="Arial"/>
          <w:bCs/>
          <w:sz w:val="20"/>
          <w:szCs w:val="20"/>
        </w:rPr>
        <w:t>:</w:t>
      </w:r>
      <w:r w:rsidR="0021350F" w:rsidRPr="00D64161">
        <w:rPr>
          <w:rFonts w:ascii="Verdana" w:hAnsi="Verdana" w:cs="Arial"/>
          <w:b/>
          <w:bCs/>
          <w:sz w:val="20"/>
          <w:szCs w:val="20"/>
        </w:rPr>
        <w:t xml:space="preserve"> </w:t>
      </w:r>
      <w:r w:rsidR="0021350F" w:rsidRPr="00923E21">
        <w:rPr>
          <w:rFonts w:ascii="Verdana" w:hAnsi="Verdana" w:cs="Arial"/>
          <w:sz w:val="20"/>
          <w:szCs w:val="20"/>
        </w:rPr>
        <w:t xml:space="preserve">corresponde al porcentaje de participación de la AFP en el total de los activos del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a partir de la relación entre el valor de la inversión de la AFP y el valor total de los activos del fondo o patrimonio autónomo.</w:t>
      </w:r>
    </w:p>
    <w:p w14:paraId="67462BF8" w14:textId="65CC0CA5"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44</w:t>
      </w:r>
      <w:r w:rsidRPr="00A2626A">
        <w:rPr>
          <w:rFonts w:ascii="Verdana" w:hAnsi="Verdana" w:cs="Arial"/>
          <w:bCs/>
          <w:sz w:val="20"/>
          <w:szCs w:val="20"/>
        </w:rPr>
        <w:t>.</w:t>
      </w:r>
    </w:p>
    <w:p w14:paraId="332930EC" w14:textId="1042A392" w:rsidR="0021350F"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el cálculo de los requerimientos </w:t>
      </w:r>
      <m:oMath>
        <m:r>
          <w:rPr>
            <w:rFonts w:ascii="Cambria Math" w:hAnsi="Cambria Math" w:cs="Arial"/>
            <w:sz w:val="20"/>
            <w:szCs w:val="20"/>
          </w:rPr>
          <m:t>X</m:t>
        </m:r>
      </m:oMath>
      <w:r w:rsidRPr="00923E21">
        <w:rPr>
          <w:rFonts w:ascii="Verdana" w:hAnsi="Verdana" w:cs="Arial"/>
          <w:sz w:val="20"/>
          <w:szCs w:val="20"/>
        </w:rPr>
        <w:t xml:space="preserve">, </w:t>
      </w:r>
      <m:oMath>
        <m:r>
          <w:rPr>
            <w:rFonts w:ascii="Cambria Math" w:hAnsi="Cambria Math" w:cs="Arial"/>
            <w:sz w:val="20"/>
            <w:szCs w:val="20"/>
          </w:rPr>
          <m:t>Y</m:t>
        </m:r>
      </m:oMath>
      <w:r w:rsidRPr="00923E21">
        <w:rPr>
          <w:rFonts w:ascii="Verdana" w:hAnsi="Verdana" w:cs="Arial"/>
          <w:sz w:val="20"/>
          <w:szCs w:val="20"/>
        </w:rPr>
        <w:t xml:space="preserve">, </w:t>
      </w:r>
      <m:oMath>
        <m:r>
          <w:rPr>
            <w:rFonts w:ascii="Cambria Math" w:hAnsi="Cambria Math" w:cs="Arial"/>
            <w:sz w:val="20"/>
            <w:szCs w:val="20"/>
          </w:rPr>
          <m:t>Z</m:t>
        </m:r>
      </m:oMath>
      <w:r w:rsidRPr="00923E21">
        <w:rPr>
          <w:rFonts w:ascii="Verdana" w:hAnsi="Verdana" w:cs="Arial"/>
          <w:sz w:val="20"/>
          <w:szCs w:val="20"/>
        </w:rPr>
        <w:t xml:space="preserve"> se deben aplicar las siguientes expresiones: </w:t>
      </w:r>
    </w:p>
    <w:p w14:paraId="37994C8F" w14:textId="56FA9EA4" w:rsidR="00AC2407" w:rsidRPr="00A2626A" w:rsidRDefault="00AC2407" w:rsidP="00AC240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4</w:t>
      </w:r>
      <w:r w:rsidR="003F2544">
        <w:rPr>
          <w:rFonts w:ascii="Verdana" w:hAnsi="Verdana" w:cs="Arial"/>
          <w:bCs/>
          <w:sz w:val="20"/>
          <w:szCs w:val="20"/>
        </w:rPr>
        <w:t>5</w:t>
      </w:r>
      <w:r w:rsidRPr="00A2626A">
        <w:rPr>
          <w:rFonts w:ascii="Verdana" w:hAnsi="Verdana" w:cs="Arial"/>
          <w:bCs/>
          <w:sz w:val="20"/>
          <w:szCs w:val="20"/>
        </w:rPr>
        <w:t>.</w:t>
      </w:r>
    </w:p>
    <w:p w14:paraId="4D668AEC" w14:textId="63E0A4FA" w:rsidR="00AC2407" w:rsidRPr="00923E21" w:rsidRDefault="00AC2407" w:rsidP="00AC2407">
      <w:pPr>
        <w:spacing w:line="0" w:lineRule="atLeast"/>
        <w:jc w:val="both"/>
        <w:rPr>
          <w:rFonts w:ascii="Verdana" w:hAnsi="Verdana" w:cs="Arial"/>
          <w:sz w:val="20"/>
          <w:szCs w:val="20"/>
        </w:rPr>
      </w:pPr>
      <w:r>
        <w:rPr>
          <w:rFonts w:ascii="Verdana" w:hAnsi="Verdana" w:cs="Arial"/>
          <w:sz w:val="20"/>
          <w:szCs w:val="20"/>
        </w:rPr>
        <w:t xml:space="preserve">Requerimiento </w:t>
      </w:r>
      <m:oMath>
        <m:r>
          <w:rPr>
            <w:rFonts w:ascii="Cambria Math" w:hAnsi="Cambria Math" w:cs="Arial"/>
            <w:sz w:val="20"/>
            <w:szCs w:val="20"/>
          </w:rPr>
          <m:t>X</m:t>
        </m:r>
      </m:oMath>
      <w:r>
        <w:rPr>
          <w:rFonts w:ascii="Verdana" w:eastAsiaTheme="minorEastAsia" w:hAnsi="Verdana" w:cs="Arial"/>
          <w:sz w:val="20"/>
          <w:szCs w:val="20"/>
        </w:rPr>
        <w:t>:</w:t>
      </w:r>
      <w:r>
        <w:rPr>
          <w:rFonts w:ascii="Verdana" w:hAnsi="Verdana" w:cs="Arial"/>
          <w:sz w:val="20"/>
          <w:szCs w:val="20"/>
        </w:rPr>
        <w:t xml:space="preserve"> </w:t>
      </w:r>
    </w:p>
    <w:p w14:paraId="4E46AC12" w14:textId="77777777" w:rsidR="0021350F" w:rsidRPr="00923E21" w:rsidRDefault="0021350F" w:rsidP="0021350F">
      <w:pPr>
        <w:spacing w:line="0" w:lineRule="atLeast"/>
        <w:jc w:val="both"/>
        <w:rPr>
          <w:rFonts w:ascii="Verdana" w:hAnsi="Verdana" w:cs="Arial"/>
          <w:sz w:val="20"/>
          <w:szCs w:val="20"/>
        </w:rPr>
      </w:pPr>
      <m:oMathPara>
        <m:oMathParaPr>
          <m:jc m:val="center"/>
        </m:oMathParaPr>
        <m:oMath>
          <m:r>
            <w:rPr>
              <w:rFonts w:ascii="Cambria Math" w:hAnsi="Cambria Math" w:cs="Arial"/>
              <w:sz w:val="20"/>
              <w:szCs w:val="20"/>
            </w:rPr>
            <m:t>X=</m:t>
          </m:r>
          <m:d>
            <m:dPr>
              <m:begChr m:val="["/>
              <m:endChr m:val="]"/>
              <m:ctrlPr>
                <w:rPr>
                  <w:rFonts w:ascii="Cambria Math" w:hAnsi="Cambria Math" w:cs="Arial"/>
                  <w:i/>
                  <w:sz w:val="20"/>
                  <w:szCs w:val="20"/>
                </w:rPr>
              </m:ctrlPr>
            </m:dPr>
            <m:e>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T.ABA</m:t>
                      </m:r>
                    </m:e>
                    <m:sub>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%Max.ClaseActivos</m:t>
                      </m:r>
                    </m:e>
                    <m:sub>
                      <m:r>
                        <w:rPr>
                          <w:rFonts w:ascii="Cambria Math" w:hAnsi="Cambria Math" w:cs="Arial"/>
                          <w:sz w:val="20"/>
                          <w:szCs w:val="20"/>
                        </w:rPr>
                        <m:t>i</m:t>
                      </m:r>
                    </m:sub>
                  </m:sSub>
                </m:e>
              </m:nary>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Max.%ponderación</m:t>
                  </m:r>
                </m:e>
                <m:sub>
                  <m:r>
                    <w:rPr>
                      <w:rFonts w:ascii="Cambria Math" w:hAnsi="Cambria Math" w:cs="Arial"/>
                      <w:sz w:val="20"/>
                      <w:szCs w:val="20"/>
                    </w:rPr>
                    <m:t>i</m:t>
                  </m:r>
                </m:sub>
              </m:sSub>
            </m:e>
          </m:d>
        </m:oMath>
      </m:oMathPara>
    </w:p>
    <w:p w14:paraId="333377BC"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0701BCDA" w14:textId="7C6EED82" w:rsidR="0021350F" w:rsidRPr="00923E21" w:rsidRDefault="00E11761" w:rsidP="0021350F">
      <w:pPr>
        <w:spacing w:line="0" w:lineRule="atLeast"/>
        <w:jc w:val="both"/>
        <w:rPr>
          <w:rFonts w:ascii="Verdana" w:hAnsi="Verdana" w:cs="Arial"/>
          <w:sz w:val="20"/>
          <w:szCs w:val="20"/>
        </w:rPr>
      </w:pPr>
      <m:oMath>
        <m:r>
          <w:rPr>
            <w:rFonts w:ascii="Cambria Math" w:hAnsi="Cambria Math" w:cs="Arial"/>
            <w:sz w:val="20"/>
            <w:szCs w:val="20"/>
          </w:rPr>
          <m:t>i</m:t>
        </m:r>
      </m:oMath>
      <w:r w:rsidR="0021350F" w:rsidRPr="00E11761">
        <w:rPr>
          <w:rFonts w:ascii="Verdana" w:hAnsi="Verdana" w:cs="Arial"/>
          <w:bCs/>
          <w:sz w:val="20"/>
          <w:szCs w:val="20"/>
        </w:rPr>
        <w:t>:</w:t>
      </w:r>
      <w:r w:rsidR="0021350F" w:rsidRPr="00D64161">
        <w:rPr>
          <w:rFonts w:ascii="Verdana" w:hAnsi="Verdana" w:cs="Arial"/>
          <w:b/>
          <w:bCs/>
          <w:sz w:val="20"/>
          <w:szCs w:val="20"/>
        </w:rPr>
        <w:t xml:space="preserve"> </w:t>
      </w:r>
      <w:r w:rsidR="0021350F" w:rsidRPr="00923E21">
        <w:rPr>
          <w:rFonts w:ascii="Verdana" w:hAnsi="Verdana" w:cs="Arial"/>
          <w:sz w:val="20"/>
          <w:szCs w:val="20"/>
        </w:rPr>
        <w:t xml:space="preserve">corresponde a cada clase de activos que componen el fondo o el patrimonio autónomo de acuerdo con la política de inversión, las cuales podrán clasificarse de conformidad con </w:t>
      </w:r>
      <w:r w:rsidR="0021350F" w:rsidRPr="00923E21">
        <w:rPr>
          <w:rFonts w:ascii="Verdana" w:hAnsi="Verdana" w:cs="Arial"/>
          <w:sz w:val="20"/>
          <w:szCs w:val="20"/>
        </w:rPr>
        <w:lastRenderedPageBreak/>
        <w:t xml:space="preserve">los activos señalados en el artículo 2.6.1.1.10 del Decreto 2555 de 2010, o como un grupo de las anteriores. </w:t>
      </w:r>
    </w:p>
    <w:p w14:paraId="451CDEDE" w14:textId="3109AB0F" w:rsidR="0021350F" w:rsidRPr="00923E21" w:rsidRDefault="00E11761" w:rsidP="0021350F">
      <w:pPr>
        <w:spacing w:line="0" w:lineRule="atLeast"/>
        <w:jc w:val="both"/>
        <w:rPr>
          <w:rFonts w:ascii="Verdana" w:hAnsi="Verdana" w:cs="Arial"/>
          <w:sz w:val="20"/>
          <w:szCs w:val="20"/>
        </w:rPr>
      </w:pPr>
      <m:oMath>
        <m:r>
          <w:rPr>
            <w:rFonts w:ascii="Cambria Math" w:hAnsi="Cambria Math" w:cs="Arial"/>
            <w:sz w:val="20"/>
            <w:szCs w:val="20"/>
          </w:rPr>
          <m:t>n</m:t>
        </m:r>
      </m:oMath>
      <w:r w:rsidR="0021350F" w:rsidRPr="00E11761">
        <w:rPr>
          <w:rFonts w:ascii="Verdana" w:hAnsi="Verdana" w:cs="Arial"/>
          <w:bCs/>
          <w:sz w:val="20"/>
          <w:szCs w:val="20"/>
        </w:rPr>
        <w:t>:</w:t>
      </w:r>
      <w:r w:rsidR="0021350F" w:rsidRPr="00923E21">
        <w:rPr>
          <w:rFonts w:ascii="Verdana" w:hAnsi="Verdana" w:cs="Arial"/>
          <w:sz w:val="20"/>
          <w:szCs w:val="20"/>
        </w:rPr>
        <w:t xml:space="preserve"> corresponde al número total de clases de activos que componen el fondo o el patrimonio autónomo de acuerdo con la política de inversión.</w:t>
      </w:r>
    </w:p>
    <w:p w14:paraId="0ABF0BBF" w14:textId="430E8F46" w:rsidR="0021350F" w:rsidRPr="00E1176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%Max.ClaseActivos</m:t>
            </m:r>
          </m:e>
          <m:sub>
            <m:r>
              <w:rPr>
                <w:rFonts w:ascii="Cambria Math" w:hAnsi="Cambria Math" w:cs="Arial"/>
                <w:sz w:val="20"/>
                <w:szCs w:val="20"/>
              </w:rPr>
              <m:t>i</m:t>
            </m:r>
          </m:sub>
        </m:sSub>
      </m:oMath>
      <w:r w:rsidR="0021350F" w:rsidRPr="00E11761">
        <w:rPr>
          <w:rFonts w:ascii="Verdana" w:hAnsi="Verdana" w:cs="Arial"/>
          <w:sz w:val="20"/>
          <w:szCs w:val="20"/>
        </w:rPr>
        <w:t>:</w:t>
      </w:r>
      <w:r w:rsidR="0021350F" w:rsidRPr="00923E21">
        <w:rPr>
          <w:rFonts w:ascii="Verdana" w:hAnsi="Verdana" w:cs="Arial"/>
          <w:sz w:val="20"/>
          <w:szCs w:val="20"/>
        </w:rPr>
        <w:t xml:space="preserve"> corresponde al máximo porcentaje de exposición permitido para la clase de activos </w:t>
      </w:r>
      <m:oMath>
        <m:r>
          <w:rPr>
            <w:rFonts w:ascii="Cambria Math" w:hAnsi="Cambria Math" w:cs="Arial"/>
            <w:sz w:val="20"/>
            <w:szCs w:val="20"/>
          </w:rPr>
          <m:t>i</m:t>
        </m:r>
      </m:oMath>
      <w:r w:rsidR="0021350F" w:rsidRPr="00923E21">
        <w:rPr>
          <w:rFonts w:ascii="Verdana" w:hAnsi="Verdana" w:cs="Arial"/>
          <w:sz w:val="20"/>
          <w:szCs w:val="20"/>
        </w:rPr>
        <w:t xml:space="preserve">, de acuerdo con la política de inversión del fondo o el patrimonio </w:t>
      </w:r>
      <w:r w:rsidR="0021350F" w:rsidRPr="00E11761">
        <w:rPr>
          <w:rFonts w:ascii="Verdana" w:hAnsi="Verdana" w:cs="Arial"/>
          <w:sz w:val="20"/>
          <w:szCs w:val="20"/>
        </w:rPr>
        <w:t xml:space="preserve">autónomo </w:t>
      </w:r>
      <m:oMath>
        <m:r>
          <w:rPr>
            <w:rFonts w:ascii="Cambria Math" w:hAnsi="Cambria Math" w:cs="Arial"/>
            <w:sz w:val="20"/>
            <w:szCs w:val="20"/>
          </w:rPr>
          <m:t>a</m:t>
        </m:r>
      </m:oMath>
      <w:r w:rsidR="0021350F" w:rsidRPr="00E11761">
        <w:rPr>
          <w:rFonts w:ascii="Verdana" w:hAnsi="Verdana" w:cs="Arial"/>
          <w:sz w:val="20"/>
          <w:szCs w:val="20"/>
        </w:rPr>
        <w:t>.</w:t>
      </w:r>
    </w:p>
    <w:p w14:paraId="4D024B5E" w14:textId="719CFFA6" w:rsidR="0021350F" w:rsidRPr="00923E21" w:rsidRDefault="00000000" w:rsidP="0050A195">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Max.%ponderación</m:t>
            </m:r>
          </m:e>
          <m:sub>
            <m:r>
              <w:rPr>
                <w:rFonts w:ascii="Cambria Math" w:hAnsi="Cambria Math" w:cs="Arial"/>
                <w:sz w:val="20"/>
                <w:szCs w:val="20"/>
              </w:rPr>
              <m:t>i</m:t>
            </m:r>
          </m:sub>
        </m:sSub>
      </m:oMath>
      <w:r w:rsidR="0021350F" w:rsidRPr="00E11761">
        <w:rPr>
          <w:rFonts w:ascii="Verdana" w:hAnsi="Verdana" w:cs="Arial"/>
          <w:sz w:val="20"/>
          <w:szCs w:val="20"/>
        </w:rPr>
        <w:t>:</w:t>
      </w:r>
      <w:r w:rsidR="0021350F" w:rsidRPr="0050A195">
        <w:rPr>
          <w:rFonts w:ascii="Verdana" w:hAnsi="Verdana" w:cs="Arial"/>
          <w:sz w:val="20"/>
          <w:szCs w:val="20"/>
        </w:rPr>
        <w:t xml:space="preserve"> corresponde al máximo porcentaje de ponderación aplicable a la clase de activos </w:t>
      </w:r>
      <m:oMath>
        <m:r>
          <w:rPr>
            <w:rFonts w:ascii="Cambria Math" w:hAnsi="Cambria Math" w:cs="Arial"/>
            <w:sz w:val="20"/>
            <w:szCs w:val="20"/>
          </w:rPr>
          <m:t>i</m:t>
        </m:r>
      </m:oMath>
      <w:r w:rsidR="0021350F" w:rsidRPr="0050A195">
        <w:rPr>
          <w:rFonts w:ascii="Verdana" w:hAnsi="Verdana" w:cs="Arial"/>
          <w:sz w:val="20"/>
          <w:szCs w:val="20"/>
        </w:rPr>
        <w:t>, de acuerdo con los ponderadores definidos en el artículo 2.6.1.1.10 del Decreto 2555 de 2010. La entidad deberá aplicar al valor total de cada clase de activos el ponderador más alto correspondiente a dicha clase en los casos en que pueda aplicar más de una ponderación.</w:t>
      </w:r>
    </w:p>
    <w:p w14:paraId="600DF912" w14:textId="3D51B360"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4</w:t>
      </w:r>
      <w:r w:rsidR="003F2544">
        <w:rPr>
          <w:rFonts w:ascii="Verdana" w:hAnsi="Verdana" w:cs="Arial"/>
          <w:bCs/>
          <w:sz w:val="20"/>
          <w:szCs w:val="20"/>
        </w:rPr>
        <w:t>6</w:t>
      </w:r>
      <w:r w:rsidRPr="00A2626A">
        <w:rPr>
          <w:rFonts w:ascii="Verdana" w:hAnsi="Verdana" w:cs="Arial"/>
          <w:bCs/>
          <w:sz w:val="20"/>
          <w:szCs w:val="20"/>
        </w:rPr>
        <w:t>.</w:t>
      </w:r>
    </w:p>
    <w:p w14:paraId="2DEB794F" w14:textId="0B71A2C9"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En todo caso, al momento de calcular el valor del requerimiento </w:t>
      </w:r>
      <m:oMath>
        <m:r>
          <w:rPr>
            <w:rFonts w:ascii="Cambria Math" w:hAnsi="Cambria Math" w:cs="Arial"/>
            <w:sz w:val="20"/>
            <w:szCs w:val="20"/>
          </w:rPr>
          <m:t>X</m:t>
        </m:r>
      </m:oMath>
      <w:r w:rsidRPr="00923E21">
        <w:rPr>
          <w:rFonts w:ascii="Verdana" w:hAnsi="Verdana" w:cs="Arial"/>
          <w:sz w:val="20"/>
          <w:szCs w:val="20"/>
        </w:rPr>
        <w:t xml:space="preserve">, la entidad debe asignar el valor total de los activos bajo administración del fondo o del patrimonio autónomo a las clases de inversión permitidas, iniciando por la clase que tenga la ponderación más alta y siguiendo de forma descendente, teniendo en cuenta la máxima exposición permitida a cada clase de activos hasta agotar el 100% de la inversión. Por lo tanto, en la expresión para el cálculo de </w:t>
      </w:r>
      <m:oMath>
        <m:r>
          <w:rPr>
            <w:rFonts w:ascii="Cambria Math" w:hAnsi="Cambria Math" w:cs="Arial"/>
            <w:sz w:val="20"/>
            <w:szCs w:val="20"/>
          </w:rPr>
          <m:t>X</m:t>
        </m:r>
      </m:oMath>
      <w:r w:rsidRPr="00923E21">
        <w:rPr>
          <w:rFonts w:ascii="Verdana" w:hAnsi="Verdana" w:cs="Arial"/>
          <w:sz w:val="20"/>
          <w:szCs w:val="20"/>
        </w:rPr>
        <w:t xml:space="preserve"> se debe cumplir: </w:t>
      </w:r>
    </w:p>
    <w:p w14:paraId="3D9995E1" w14:textId="77777777" w:rsidR="0021350F" w:rsidRPr="00923E21" w:rsidRDefault="00000000" w:rsidP="0021350F">
      <w:pPr>
        <w:spacing w:line="0" w:lineRule="atLeast"/>
        <w:jc w:val="both"/>
        <w:rPr>
          <w:rFonts w:ascii="Verdana" w:hAnsi="Verdana" w:cs="Arial"/>
          <w:sz w:val="20"/>
          <w:szCs w:val="20"/>
        </w:rPr>
      </w:pPr>
      <m:oMathPara>
        <m:oMath>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Max.ClaseActivos</m:t>
                  </m:r>
                </m:e>
                <m:sub>
                  <m:r>
                    <w:rPr>
                      <w:rFonts w:ascii="Cambria Math" w:hAnsi="Cambria Math" w:cs="Arial"/>
                      <w:sz w:val="20"/>
                      <w:szCs w:val="20"/>
                    </w:rPr>
                    <m:t>i</m:t>
                  </m:r>
                </m:sub>
              </m:sSub>
            </m:e>
          </m:nary>
          <m:r>
            <w:rPr>
              <w:rFonts w:ascii="Cambria Math" w:hAnsi="Cambria Math" w:cs="Arial"/>
              <w:sz w:val="20"/>
              <w:szCs w:val="20"/>
            </w:rPr>
            <m:t>=100%</m:t>
          </m:r>
        </m:oMath>
      </m:oMathPara>
    </w:p>
    <w:p w14:paraId="26D1E668" w14:textId="002DCD15" w:rsidR="00AC2407" w:rsidRPr="00A2626A" w:rsidRDefault="00AC2407" w:rsidP="00AC240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4</w:t>
      </w:r>
      <w:r w:rsidR="003F2544">
        <w:rPr>
          <w:rFonts w:ascii="Verdana" w:hAnsi="Verdana" w:cs="Arial"/>
          <w:bCs/>
          <w:sz w:val="20"/>
          <w:szCs w:val="20"/>
        </w:rPr>
        <w:t>7</w:t>
      </w:r>
      <w:r w:rsidRPr="00A2626A">
        <w:rPr>
          <w:rFonts w:ascii="Verdana" w:hAnsi="Verdana" w:cs="Arial"/>
          <w:bCs/>
          <w:sz w:val="20"/>
          <w:szCs w:val="20"/>
        </w:rPr>
        <w:t>.</w:t>
      </w:r>
    </w:p>
    <w:p w14:paraId="41098F79" w14:textId="0512EFD3" w:rsidR="00AC2407" w:rsidRPr="00923E21" w:rsidRDefault="00AC2407" w:rsidP="00AC2407">
      <w:pPr>
        <w:spacing w:line="0" w:lineRule="atLeast"/>
        <w:jc w:val="both"/>
        <w:rPr>
          <w:rFonts w:ascii="Verdana" w:hAnsi="Verdana" w:cs="Arial"/>
          <w:sz w:val="20"/>
          <w:szCs w:val="20"/>
        </w:rPr>
      </w:pPr>
      <w:r>
        <w:rPr>
          <w:rFonts w:ascii="Verdana" w:hAnsi="Verdana" w:cs="Arial"/>
          <w:sz w:val="20"/>
          <w:szCs w:val="20"/>
        </w:rPr>
        <w:t xml:space="preserve">Requerimiento </w:t>
      </w:r>
      <m:oMath>
        <m:r>
          <w:rPr>
            <w:rFonts w:ascii="Cambria Math" w:hAnsi="Cambria Math" w:cs="Arial"/>
            <w:sz w:val="20"/>
            <w:szCs w:val="20"/>
          </w:rPr>
          <m:t>Y</m:t>
        </m:r>
      </m:oMath>
      <w:r>
        <w:rPr>
          <w:rFonts w:ascii="Verdana" w:eastAsiaTheme="minorEastAsia" w:hAnsi="Verdana" w:cs="Arial"/>
          <w:sz w:val="20"/>
          <w:szCs w:val="20"/>
        </w:rPr>
        <w:t>:</w:t>
      </w:r>
      <w:r>
        <w:rPr>
          <w:rFonts w:ascii="Verdana" w:hAnsi="Verdana" w:cs="Arial"/>
          <w:sz w:val="20"/>
          <w:szCs w:val="20"/>
        </w:rPr>
        <w:t xml:space="preserve"> </w:t>
      </w:r>
    </w:p>
    <w:p w14:paraId="4F27F514" w14:textId="77777777" w:rsidR="0021350F" w:rsidRPr="00923E21" w:rsidRDefault="0021350F" w:rsidP="0021350F">
      <w:pPr>
        <w:pStyle w:val="Prrafodelista"/>
        <w:spacing w:line="0" w:lineRule="atLeast"/>
        <w:ind w:left="0"/>
        <w:jc w:val="center"/>
        <w:rPr>
          <w:rFonts w:ascii="Verdana" w:hAnsi="Verdana" w:cs="Arial"/>
          <w:sz w:val="20"/>
          <w:szCs w:val="20"/>
        </w:rPr>
      </w:pPr>
      <m:oMathPara>
        <m:oMath>
          <m:r>
            <w:rPr>
              <w:rFonts w:ascii="Cambria Math" w:hAnsi="Cambria Math" w:cs="Arial"/>
              <w:sz w:val="20"/>
              <w:szCs w:val="20"/>
            </w:rPr>
            <m:t xml:space="preserve"> Y=</m:t>
          </m:r>
          <m:d>
            <m:dPr>
              <m:ctrlPr>
                <w:rPr>
                  <w:rFonts w:ascii="Cambria Math" w:hAnsi="Cambria Math" w:cs="Arial"/>
                  <w:i/>
                  <w:sz w:val="20"/>
                  <w:szCs w:val="20"/>
                </w:rPr>
              </m:ctrlPr>
            </m:dPr>
            <m:e>
              <m:r>
                <w:rPr>
                  <w:rFonts w:ascii="Cambria Math" w:hAnsi="Cambria Math" w:cs="Arial"/>
                  <w:sz w:val="20"/>
                  <w:szCs w:val="20"/>
                </w:rPr>
                <m:t xml:space="preserve">Monto nominal de las contingencias </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Factor de conversión crediticio</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Ponderación por riesgo crediticio de la  contraparte</m:t>
              </m:r>
            </m:e>
          </m:d>
        </m:oMath>
      </m:oMathPara>
    </w:p>
    <w:p w14:paraId="394F263E"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03157272" w14:textId="0DAA5050" w:rsidR="0021350F" w:rsidRPr="00923E21" w:rsidRDefault="00AC2407" w:rsidP="0021350F">
      <w:pPr>
        <w:spacing w:line="0" w:lineRule="atLeast"/>
        <w:jc w:val="both"/>
        <w:rPr>
          <w:rFonts w:ascii="Verdana" w:hAnsi="Verdana" w:cs="Arial"/>
          <w:sz w:val="20"/>
          <w:szCs w:val="20"/>
        </w:rPr>
      </w:pPr>
      <m:oMath>
        <m:r>
          <w:rPr>
            <w:rFonts w:ascii="Cambria Math" w:hAnsi="Cambria Math" w:cs="Arial"/>
            <w:sz w:val="20"/>
            <w:szCs w:val="20"/>
          </w:rPr>
          <m:t>Monto nominal de las contingencias</m:t>
        </m:r>
      </m:oMath>
      <w:r w:rsidR="0021350F" w:rsidRPr="00AC2407">
        <w:rPr>
          <w:rFonts w:ascii="Verdana" w:hAnsi="Verdana" w:cs="Arial"/>
          <w:bCs/>
          <w:sz w:val="20"/>
          <w:szCs w:val="20"/>
        </w:rPr>
        <w:t>:</w:t>
      </w:r>
      <w:r w:rsidR="0021350F" w:rsidRPr="00923E21">
        <w:rPr>
          <w:rFonts w:ascii="Verdana" w:hAnsi="Verdana" w:cs="Arial"/>
          <w:sz w:val="20"/>
          <w:szCs w:val="20"/>
        </w:rPr>
        <w:t xml:space="preserve"> es el valor agregado de los compromisos contingentes, de acuerdo con la clasificación que se indica en la definición de </w:t>
      </w:r>
      <m:oMath>
        <m:r>
          <w:rPr>
            <w:rFonts w:ascii="Cambria Math" w:hAnsi="Cambria Math" w:cs="Arial"/>
            <w:sz w:val="20"/>
            <w:szCs w:val="20"/>
          </w:rPr>
          <m:t>Factor de conversión crediticio</m:t>
        </m:r>
      </m:oMath>
      <w:r w:rsidR="0021350F" w:rsidRPr="00923E21">
        <w:rPr>
          <w:rFonts w:ascii="Verdana" w:hAnsi="Verdana" w:cs="Arial"/>
          <w:sz w:val="20"/>
          <w:szCs w:val="20"/>
        </w:rPr>
        <w:t>, siempre que dichas contingencias no impliquen ningún tipo de apalancamiento de acuerdo con los parágrafos del artículo 3.1.1.5.1 del Decreto 2555 de 2010.</w:t>
      </w:r>
    </w:p>
    <w:p w14:paraId="346A40B4" w14:textId="19B0FD1F" w:rsidR="0021350F" w:rsidRPr="00AC2407" w:rsidRDefault="00AC2407" w:rsidP="00AC2407">
      <w:pPr>
        <w:spacing w:line="0" w:lineRule="atLeast"/>
        <w:jc w:val="both"/>
        <w:rPr>
          <w:rFonts w:ascii="Verdana" w:hAnsi="Verdana" w:cs="Arial"/>
          <w:sz w:val="20"/>
          <w:szCs w:val="20"/>
        </w:rPr>
      </w:pPr>
      <m:oMath>
        <m:r>
          <w:rPr>
            <w:rFonts w:ascii="Cambria Math" w:hAnsi="Cambria Math" w:cs="Arial"/>
            <w:sz w:val="20"/>
            <w:szCs w:val="20"/>
          </w:rPr>
          <m:t>Factor de conversión crediticio</m:t>
        </m:r>
      </m:oMath>
      <w:r w:rsidR="0021350F" w:rsidRPr="00AC2407">
        <w:rPr>
          <w:rFonts w:ascii="Verdana" w:hAnsi="Verdana" w:cs="Arial"/>
          <w:bCs/>
          <w:sz w:val="20"/>
          <w:szCs w:val="20"/>
        </w:rPr>
        <w:t xml:space="preserve">: </w:t>
      </w:r>
      <w:r w:rsidR="0021350F" w:rsidRPr="00923E21">
        <w:rPr>
          <w:rFonts w:ascii="Verdana" w:hAnsi="Verdana" w:cs="Arial"/>
          <w:sz w:val="20"/>
          <w:szCs w:val="20"/>
        </w:rPr>
        <w:t>se determinará de acuerdo con la siguiente clasificación:</w:t>
      </w:r>
    </w:p>
    <w:p w14:paraId="6B40FC73" w14:textId="7B1D48AA" w:rsidR="0021350F" w:rsidRDefault="0021350F" w:rsidP="00F72C18">
      <w:pPr>
        <w:pStyle w:val="NormalWeb"/>
        <w:numPr>
          <w:ilvl w:val="0"/>
          <w:numId w:val="9"/>
        </w:numPr>
        <w:tabs>
          <w:tab w:val="left" w:pos="1276"/>
        </w:tabs>
        <w:spacing w:before="0" w:beforeAutospacing="0" w:after="0" w:afterAutospacing="0"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Exposiciones contingentes irrevocables equivalentes a compromisos de crédito irrevocables, tales como las posiciones pasivas en operaciones del mercado monetario, entre otros. Estas contingencias tienen un factor de conversión crediticio del 100%.</w:t>
      </w:r>
    </w:p>
    <w:p w14:paraId="3323276F" w14:textId="77777777" w:rsidR="006F2F5C" w:rsidRDefault="006F2F5C" w:rsidP="006F2F5C">
      <w:pPr>
        <w:pStyle w:val="NormalWeb"/>
        <w:tabs>
          <w:tab w:val="left" w:pos="426"/>
        </w:tabs>
        <w:spacing w:before="0" w:beforeAutospacing="0" w:after="0" w:afterAutospacing="0" w:line="0" w:lineRule="atLeast"/>
        <w:ind w:left="720"/>
        <w:jc w:val="both"/>
        <w:rPr>
          <w:rFonts w:ascii="Verdana" w:hAnsi="Verdana" w:cs="Arial"/>
          <w:color w:val="000000"/>
          <w:sz w:val="20"/>
          <w:szCs w:val="20"/>
        </w:rPr>
      </w:pPr>
    </w:p>
    <w:p w14:paraId="23867697" w14:textId="3111345A" w:rsidR="0021350F" w:rsidRDefault="0021350F" w:rsidP="0021350F">
      <w:pPr>
        <w:pStyle w:val="NormalWeb"/>
        <w:numPr>
          <w:ilvl w:val="0"/>
          <w:numId w:val="9"/>
        </w:numPr>
        <w:tabs>
          <w:tab w:val="left" w:pos="1701"/>
        </w:tabs>
        <w:spacing w:before="0" w:beforeAutospacing="0" w:after="0" w:afterAutospacing="0"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Los contratos y contingencias revocables tienen un factor de conversión crediticio del 10%.</w:t>
      </w:r>
    </w:p>
    <w:p w14:paraId="5F3A7B06" w14:textId="77777777" w:rsidR="00AC2407" w:rsidRPr="00AC2407" w:rsidRDefault="00AC2407" w:rsidP="00AC2407">
      <w:pPr>
        <w:pStyle w:val="NormalWeb"/>
        <w:tabs>
          <w:tab w:val="left" w:pos="1701"/>
        </w:tabs>
        <w:spacing w:before="0" w:beforeAutospacing="0" w:after="0" w:afterAutospacing="0" w:line="0" w:lineRule="atLeast"/>
        <w:jc w:val="both"/>
        <w:rPr>
          <w:rFonts w:ascii="Verdana" w:hAnsi="Verdana" w:cs="Arial"/>
          <w:color w:val="000000"/>
          <w:sz w:val="20"/>
          <w:szCs w:val="20"/>
        </w:rPr>
      </w:pPr>
    </w:p>
    <w:p w14:paraId="788035DA" w14:textId="32A8E44C" w:rsidR="0021350F" w:rsidRPr="00923E21" w:rsidRDefault="00AC2407" w:rsidP="0021350F">
      <w:pPr>
        <w:spacing w:line="0" w:lineRule="atLeast"/>
        <w:jc w:val="both"/>
        <w:rPr>
          <w:rFonts w:ascii="Verdana" w:hAnsi="Verdana" w:cs="Arial"/>
          <w:sz w:val="20"/>
          <w:szCs w:val="20"/>
        </w:rPr>
      </w:pPr>
      <m:oMath>
        <m:r>
          <w:rPr>
            <w:rFonts w:ascii="Cambria Math" w:hAnsi="Cambria Math" w:cs="Arial"/>
            <w:sz w:val="20"/>
            <w:szCs w:val="20"/>
          </w:rPr>
          <m:t>Ponderación por riesgo crediticio de la  contraparte</m:t>
        </m:r>
      </m:oMath>
      <w:r w:rsidR="0021350F" w:rsidRPr="00AC2407">
        <w:rPr>
          <w:rFonts w:ascii="Verdana" w:hAnsi="Verdana" w:cs="Arial"/>
          <w:bCs/>
          <w:sz w:val="20"/>
          <w:szCs w:val="20"/>
        </w:rPr>
        <w:t>:</w:t>
      </w:r>
      <w:r w:rsidR="0021350F" w:rsidRPr="00923E21">
        <w:rPr>
          <w:rFonts w:ascii="Verdana" w:hAnsi="Verdana" w:cs="Arial"/>
          <w:sz w:val="20"/>
          <w:szCs w:val="20"/>
        </w:rPr>
        <w:t xml:space="preserve"> corresponde al porcentaje de ponderación aplicable a la contraparte de la contingencia, en los términos del artículo 2.6.1.1.10 del Decreto 2555 de 2010 y las instrucciones sobre la ponderación particular de algunos activos </w:t>
      </w:r>
      <w:r w:rsidR="000A2AA0">
        <w:rPr>
          <w:rFonts w:ascii="Verdana" w:hAnsi="Verdana" w:cs="Arial"/>
          <w:sz w:val="20"/>
          <w:szCs w:val="20"/>
        </w:rPr>
        <w:t xml:space="preserve">de la presente sección. </w:t>
      </w:r>
    </w:p>
    <w:p w14:paraId="3DAAD320" w14:textId="308BA7A9" w:rsidR="00AC2407" w:rsidRPr="00A2626A" w:rsidRDefault="00AC2407" w:rsidP="00AC240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4</w:t>
      </w:r>
      <w:r w:rsidR="003F2544">
        <w:rPr>
          <w:rFonts w:ascii="Verdana" w:hAnsi="Verdana" w:cs="Arial"/>
          <w:bCs/>
          <w:sz w:val="20"/>
          <w:szCs w:val="20"/>
        </w:rPr>
        <w:t>8</w:t>
      </w:r>
      <w:r w:rsidRPr="00A2626A">
        <w:rPr>
          <w:rFonts w:ascii="Verdana" w:hAnsi="Verdana" w:cs="Arial"/>
          <w:bCs/>
          <w:sz w:val="20"/>
          <w:szCs w:val="20"/>
        </w:rPr>
        <w:t>.</w:t>
      </w:r>
    </w:p>
    <w:p w14:paraId="699ED278" w14:textId="0370B9C4" w:rsidR="0021350F" w:rsidRPr="00923E21" w:rsidRDefault="00AC2407" w:rsidP="0021350F">
      <w:pPr>
        <w:spacing w:line="0" w:lineRule="atLeast"/>
        <w:jc w:val="both"/>
        <w:rPr>
          <w:rFonts w:ascii="Verdana" w:hAnsi="Verdana" w:cs="Arial"/>
          <w:sz w:val="20"/>
          <w:szCs w:val="20"/>
        </w:rPr>
      </w:pPr>
      <w:r>
        <w:rPr>
          <w:rFonts w:ascii="Verdana" w:hAnsi="Verdana" w:cs="Arial"/>
          <w:sz w:val="20"/>
          <w:szCs w:val="20"/>
        </w:rPr>
        <w:t xml:space="preserve">Requerimiento </w:t>
      </w:r>
      <m:oMath>
        <m:r>
          <w:rPr>
            <w:rFonts w:ascii="Cambria Math" w:hAnsi="Cambria Math" w:cs="Arial"/>
            <w:sz w:val="20"/>
            <w:szCs w:val="20"/>
          </w:rPr>
          <m:t>Z</m:t>
        </m:r>
      </m:oMath>
      <w:r>
        <w:rPr>
          <w:rFonts w:ascii="Verdana" w:eastAsiaTheme="minorEastAsia" w:hAnsi="Verdana" w:cs="Arial"/>
          <w:sz w:val="20"/>
          <w:szCs w:val="20"/>
        </w:rPr>
        <w:t>:</w:t>
      </w:r>
      <w:r>
        <w:rPr>
          <w:rFonts w:ascii="Verdana" w:hAnsi="Verdana" w:cs="Arial"/>
          <w:sz w:val="20"/>
          <w:szCs w:val="20"/>
        </w:rPr>
        <w:t xml:space="preserve"> </w:t>
      </w:r>
    </w:p>
    <w:p w14:paraId="0CFD438D" w14:textId="77777777" w:rsidR="0021350F" w:rsidRPr="00923E21" w:rsidRDefault="0021350F" w:rsidP="0021350F">
      <w:pPr>
        <w:pStyle w:val="Prrafodelista"/>
        <w:spacing w:line="0" w:lineRule="atLeast"/>
        <w:ind w:left="0"/>
        <w:jc w:val="center"/>
        <w:rPr>
          <w:rFonts w:ascii="Verdana" w:hAnsi="Verdana" w:cs="Arial"/>
          <w:sz w:val="20"/>
          <w:szCs w:val="20"/>
        </w:rPr>
      </w:pPr>
      <m:oMath>
        <m:r>
          <w:rPr>
            <w:rFonts w:ascii="Cambria Math" w:hAnsi="Cambria Math" w:cs="Arial"/>
            <w:sz w:val="20"/>
            <w:szCs w:val="20"/>
          </w:rPr>
          <m:t xml:space="preserve">Z=Exposición Créditicia Ponderada </m:t>
        </m:r>
      </m:oMath>
      <w:r w:rsidRPr="00923E21">
        <w:rPr>
          <w:rFonts w:ascii="Verdana" w:hAnsi="Verdana" w:cs="Arial"/>
          <w:sz w:val="20"/>
          <w:szCs w:val="20"/>
        </w:rPr>
        <w:t xml:space="preserve"> </w:t>
      </w:r>
    </w:p>
    <w:p w14:paraId="6B1538A9" w14:textId="77777777" w:rsidR="0021350F" w:rsidRPr="003F2544" w:rsidRDefault="0021350F" w:rsidP="0021350F">
      <w:pPr>
        <w:spacing w:line="0" w:lineRule="atLeast"/>
        <w:jc w:val="both"/>
        <w:rPr>
          <w:rFonts w:ascii="Verdana" w:hAnsi="Verdana" w:cs="Arial"/>
          <w:sz w:val="20"/>
          <w:szCs w:val="20"/>
        </w:rPr>
      </w:pPr>
      <w:r w:rsidRPr="003F2544">
        <w:rPr>
          <w:rFonts w:ascii="Verdana" w:hAnsi="Verdana" w:cs="Arial"/>
          <w:sz w:val="20"/>
          <w:szCs w:val="20"/>
        </w:rPr>
        <w:t>Donde:</w:t>
      </w:r>
    </w:p>
    <w:p w14:paraId="1AD9010C" w14:textId="5CEB3C62" w:rsidR="0021350F" w:rsidRPr="00923E21" w:rsidRDefault="003F2544" w:rsidP="003F2544">
      <w:pPr>
        <w:pStyle w:val="Prrafodelista"/>
        <w:spacing w:line="0" w:lineRule="atLeast"/>
        <w:ind w:left="0"/>
        <w:jc w:val="both"/>
        <w:rPr>
          <w:rFonts w:ascii="Verdana" w:hAnsi="Verdana" w:cs="Arial"/>
          <w:sz w:val="20"/>
          <w:szCs w:val="20"/>
        </w:rPr>
      </w:pPr>
      <m:oMath>
        <m:r>
          <w:rPr>
            <w:rFonts w:ascii="Cambria Math" w:hAnsi="Cambria Math" w:cs="Arial"/>
            <w:sz w:val="20"/>
            <w:szCs w:val="20"/>
          </w:rPr>
          <m:t>Exposición Créditicia Ponderada</m:t>
        </m:r>
      </m:oMath>
      <w:r w:rsidR="0021350F" w:rsidRPr="003F2544">
        <w:rPr>
          <w:rFonts w:ascii="Verdana" w:hAnsi="Verdana" w:cs="Arial"/>
          <w:sz w:val="20"/>
          <w:szCs w:val="20"/>
        </w:rPr>
        <w:t>:</w:t>
      </w:r>
      <w:r w:rsidR="0021350F" w:rsidRPr="00AC2407">
        <w:rPr>
          <w:rFonts w:ascii="Verdana" w:hAnsi="Verdana" w:cs="Arial"/>
          <w:b/>
          <w:bCs/>
          <w:sz w:val="20"/>
          <w:szCs w:val="20"/>
        </w:rPr>
        <w:t xml:space="preserve"> </w:t>
      </w:r>
      <w:r w:rsidR="0021350F" w:rsidRPr="00923E21">
        <w:rPr>
          <w:rFonts w:ascii="Verdana" w:hAnsi="Verdana" w:cs="Arial"/>
          <w:sz w:val="20"/>
          <w:szCs w:val="20"/>
        </w:rPr>
        <w:t>corresponde al monto de la exposición crediticia ponderada en instrumentos financieros derivados que no sean operaciones de naturaleza apalancada de acuerdo con los parágrafos del artículo 3</w:t>
      </w:r>
      <w:r w:rsidR="001C3D25">
        <w:rPr>
          <w:rFonts w:ascii="Verdana" w:hAnsi="Verdana" w:cs="Arial"/>
          <w:sz w:val="20"/>
          <w:szCs w:val="20"/>
        </w:rPr>
        <w:t>.</w:t>
      </w:r>
      <w:r w:rsidR="0021350F" w:rsidRPr="00923E21">
        <w:rPr>
          <w:rFonts w:ascii="Verdana" w:hAnsi="Verdana" w:cs="Arial"/>
          <w:sz w:val="20"/>
          <w:szCs w:val="20"/>
        </w:rPr>
        <w:t>1.1.5.1 del Decreto 2555 de 2010. Considerando que la entidad no conoce el detalle de las variables necesarias para determinar la exposición crediticia de</w:t>
      </w:r>
      <w:r w:rsidR="003B4471">
        <w:rPr>
          <w:rFonts w:ascii="Verdana" w:hAnsi="Verdana" w:cs="Arial"/>
          <w:sz w:val="20"/>
          <w:szCs w:val="20"/>
        </w:rPr>
        <w:t xml:space="preserve"> que trata el capítulo 5 de la parte 3 de la CBRAPIF</w:t>
      </w:r>
      <w:r w:rsidR="0021350F" w:rsidRPr="00923E21">
        <w:rPr>
          <w:rFonts w:ascii="Verdana" w:hAnsi="Verdana" w:cs="Arial"/>
          <w:sz w:val="20"/>
          <w:szCs w:val="20"/>
        </w:rPr>
        <w:t>, o cuando el cálculo se hace de forma agregada para la totalidad de la exposición del fondo o patrimonio autónomo en instrumentos financieros derivados, la exposición crediticia ponderada en derivados se determina como:</w:t>
      </w:r>
    </w:p>
    <w:p w14:paraId="231E64BD" w14:textId="28F6EBF5" w:rsidR="0021350F" w:rsidRPr="00923E21" w:rsidRDefault="0021350F" w:rsidP="0021350F">
      <w:pPr>
        <w:spacing w:line="0" w:lineRule="atLeast"/>
        <w:jc w:val="both"/>
        <w:rPr>
          <w:rFonts w:ascii="Verdana" w:hAnsi="Verdana" w:cs="Arial"/>
          <w:sz w:val="20"/>
          <w:szCs w:val="20"/>
        </w:rPr>
      </w:pPr>
      <m:oMathPara>
        <m:oMath>
          <m:r>
            <w:rPr>
              <w:rFonts w:ascii="Cambria Math" w:hAnsi="Cambria Math" w:cs="Arial"/>
              <w:sz w:val="20"/>
              <w:szCs w:val="20"/>
            </w:rPr>
            <m:t xml:space="preserve">Exposición Créditicia Ponderada </m:t>
          </m:r>
          <m:r>
            <m:rPr>
              <m:sty m:val="p"/>
            </m:rPr>
            <w:rPr>
              <w:rFonts w:ascii="Cambria Math" w:hAnsi="Cambria Math" w:cs="Arial"/>
              <w:sz w:val="20"/>
              <w:szCs w:val="20"/>
            </w:rPr>
            <m:t xml:space="preserve"> </m:t>
          </m:r>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1,4*</m:t>
              </m:r>
              <m:d>
                <m:dPr>
                  <m:ctrlPr>
                    <w:rPr>
                      <w:rFonts w:ascii="Cambria Math" w:hAnsi="Cambria Math" w:cs="Arial"/>
                      <w:i/>
                      <w:sz w:val="20"/>
                      <w:szCs w:val="20"/>
                    </w:rPr>
                  </m:ctrlPr>
                </m:dPr>
                <m:e>
                  <m:r>
                    <w:rPr>
                      <w:rFonts w:ascii="Cambria Math" w:hAnsi="Cambria Math" w:cs="Arial"/>
                      <w:sz w:val="20"/>
                      <w:szCs w:val="20"/>
                    </w:rPr>
                    <m:t>CR+EPF</m:t>
                  </m:r>
                </m:e>
              </m:d>
            </m:e>
          </m:d>
          <m:r>
            <w:rPr>
              <w:rFonts w:ascii="Cambria Math" w:hAnsi="Cambria Math" w:cs="Arial"/>
              <w:sz w:val="20"/>
              <w:szCs w:val="20"/>
            </w:rPr>
            <m:t>*Ponderador</m:t>
          </m:r>
        </m:oMath>
      </m:oMathPara>
    </w:p>
    <w:p w14:paraId="55F1140B" w14:textId="77777777" w:rsidR="00DF3974" w:rsidRDefault="00DF3974" w:rsidP="0021350F">
      <w:pPr>
        <w:spacing w:line="0" w:lineRule="atLeast"/>
        <w:jc w:val="both"/>
        <w:rPr>
          <w:rFonts w:ascii="Verdana" w:hAnsi="Verdana" w:cs="Arial"/>
          <w:sz w:val="20"/>
          <w:szCs w:val="20"/>
        </w:rPr>
      </w:pPr>
    </w:p>
    <w:p w14:paraId="600B6ED1" w14:textId="5C6CD340"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lastRenderedPageBreak/>
        <w:t>Donde:</w:t>
      </w:r>
    </w:p>
    <w:p w14:paraId="7351532D" w14:textId="7ADA8128" w:rsidR="0021350F" w:rsidRPr="00923E21" w:rsidRDefault="00AC2407" w:rsidP="0021350F">
      <w:pPr>
        <w:spacing w:line="0" w:lineRule="atLeast"/>
        <w:jc w:val="both"/>
        <w:rPr>
          <w:rFonts w:ascii="Verdana" w:hAnsi="Verdana" w:cs="Arial"/>
          <w:sz w:val="20"/>
          <w:szCs w:val="20"/>
        </w:rPr>
      </w:pPr>
      <m:oMath>
        <m:r>
          <w:rPr>
            <w:rFonts w:ascii="Cambria Math" w:hAnsi="Cambria Math" w:cs="Arial"/>
            <w:sz w:val="20"/>
            <w:szCs w:val="20"/>
          </w:rPr>
          <m:t>CR</m:t>
        </m:r>
      </m:oMath>
      <w:r w:rsidR="0021350F" w:rsidRPr="00AC2407">
        <w:rPr>
          <w:rFonts w:ascii="Verdana" w:hAnsi="Verdana" w:cs="Arial"/>
          <w:bCs/>
          <w:sz w:val="20"/>
          <w:szCs w:val="20"/>
        </w:rPr>
        <w:t>:</w:t>
      </w:r>
      <w:r w:rsidR="0021350F" w:rsidRPr="00923E21">
        <w:rPr>
          <w:rFonts w:ascii="Verdana" w:hAnsi="Verdana" w:cs="Arial"/>
          <w:sz w:val="20"/>
          <w:szCs w:val="20"/>
        </w:rPr>
        <w:t xml:space="preserve"> corresponde al costo de reposición agregado, y su valor se aproxima al valor del nominal total máximo en instrumentos financieros derivados.</w:t>
      </w:r>
    </w:p>
    <w:p w14:paraId="5E252C1D" w14:textId="46B82241" w:rsidR="0021350F" w:rsidRPr="00923E21" w:rsidRDefault="00AC2407" w:rsidP="0021350F">
      <w:pPr>
        <w:spacing w:line="0" w:lineRule="atLeast"/>
        <w:jc w:val="both"/>
        <w:rPr>
          <w:rFonts w:ascii="Verdana" w:hAnsi="Verdana" w:cs="Arial"/>
          <w:sz w:val="20"/>
          <w:szCs w:val="20"/>
        </w:rPr>
      </w:pPr>
      <m:oMath>
        <m:r>
          <w:rPr>
            <w:rFonts w:ascii="Cambria Math" w:hAnsi="Cambria Math" w:cs="Arial"/>
            <w:sz w:val="20"/>
            <w:szCs w:val="20"/>
          </w:rPr>
          <m:t>EPF</m:t>
        </m:r>
      </m:oMath>
      <w:r w:rsidR="0021350F" w:rsidRPr="00AC2407">
        <w:rPr>
          <w:rFonts w:ascii="Verdana" w:hAnsi="Verdana" w:cs="Arial"/>
          <w:bCs/>
          <w:sz w:val="20"/>
          <w:szCs w:val="20"/>
        </w:rPr>
        <w:t>:</w:t>
      </w:r>
      <w:r w:rsidR="0021350F" w:rsidRPr="00923E21">
        <w:rPr>
          <w:rFonts w:ascii="Verdana" w:hAnsi="Verdana" w:cs="Arial"/>
          <w:sz w:val="20"/>
          <w:szCs w:val="20"/>
        </w:rPr>
        <w:t xml:space="preserve"> corresponde a la exposición potencial futura del total de la exposición en instrumentos financieros derivados, y su valor se aproxima al 15% del valor nominal total máximo.</w:t>
      </w:r>
    </w:p>
    <w:p w14:paraId="30B9704C" w14:textId="21306EE9" w:rsidR="0021350F" w:rsidRPr="00923E21" w:rsidRDefault="00AC2407" w:rsidP="0021350F">
      <w:pPr>
        <w:spacing w:line="0" w:lineRule="atLeast"/>
        <w:jc w:val="both"/>
        <w:rPr>
          <w:rFonts w:ascii="Verdana" w:hAnsi="Verdana" w:cs="Arial"/>
          <w:sz w:val="20"/>
          <w:szCs w:val="20"/>
        </w:rPr>
      </w:pPr>
      <m:oMath>
        <m:r>
          <w:rPr>
            <w:rFonts w:ascii="Cambria Math" w:hAnsi="Cambria Math" w:cs="Arial"/>
            <w:sz w:val="20"/>
            <w:szCs w:val="20"/>
          </w:rPr>
          <m:t>Ponderador</m:t>
        </m:r>
      </m:oMath>
      <w:r w:rsidR="0021350F" w:rsidRPr="00AC2407">
        <w:rPr>
          <w:rFonts w:ascii="Verdana" w:hAnsi="Verdana" w:cs="Arial"/>
          <w:bCs/>
          <w:sz w:val="20"/>
          <w:szCs w:val="20"/>
        </w:rPr>
        <w:t>:</w:t>
      </w:r>
      <w:r w:rsidR="0021350F" w:rsidRPr="00923E21">
        <w:rPr>
          <w:rFonts w:ascii="Verdana" w:hAnsi="Verdana" w:cs="Arial"/>
          <w:sz w:val="20"/>
          <w:szCs w:val="20"/>
        </w:rPr>
        <w:t xml:space="preserve"> corresponde al máximo ponderador de riesgo aplicable conforme al presente capítulo y al artículo 2.6.1.1.10 del Decreto 2555 de 2010.</w:t>
      </w:r>
    </w:p>
    <w:p w14:paraId="349603A7" w14:textId="65F5DC2D"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4</w:t>
      </w:r>
      <w:r w:rsidR="003F2544">
        <w:rPr>
          <w:rFonts w:ascii="Verdana" w:hAnsi="Verdana" w:cs="Arial"/>
          <w:bCs/>
          <w:sz w:val="20"/>
          <w:szCs w:val="20"/>
        </w:rPr>
        <w:t>9</w:t>
      </w:r>
      <w:r w:rsidRPr="00A2626A">
        <w:rPr>
          <w:rFonts w:ascii="Verdana" w:hAnsi="Verdana" w:cs="Arial"/>
          <w:bCs/>
          <w:sz w:val="20"/>
          <w:szCs w:val="20"/>
        </w:rPr>
        <w:t>.</w:t>
      </w:r>
    </w:p>
    <w:p w14:paraId="18EBDAD6" w14:textId="77777777" w:rsidR="00ED1CD6" w:rsidRDefault="0021350F" w:rsidP="0050A195">
      <w:pPr>
        <w:spacing w:line="0" w:lineRule="atLeast"/>
        <w:jc w:val="both"/>
        <w:rPr>
          <w:rFonts w:ascii="Verdana" w:hAnsi="Verdana" w:cs="Arial"/>
          <w:sz w:val="20"/>
          <w:szCs w:val="20"/>
        </w:rPr>
      </w:pPr>
      <w:r w:rsidRPr="0050A195">
        <w:rPr>
          <w:rFonts w:ascii="Verdana" w:hAnsi="Verdana" w:cs="Arial"/>
          <w:sz w:val="20"/>
          <w:szCs w:val="20"/>
        </w:rPr>
        <w:t>El método de mandato solo se podrá utilizar cuando: (i) la política de inversión no permita realizar operaciones apalancadas; y (ii) la entidad cuente con información suficiente y frecuente sobre las clases y valor máximo de inversión en cada clase de activos admisibles del fondo o patrimonio autónomo. Para determinar la clase de activo y su ponderador correspondiente, la entidad debe conocer como mínimo, además de las condiciones contractuales del fondo o patrimonio autónomo, la siguiente información:</w:t>
      </w:r>
    </w:p>
    <w:p w14:paraId="0758BFAF" w14:textId="77777777" w:rsidR="00ED1CD6" w:rsidRDefault="00ED1CD6" w:rsidP="00ED1CD6">
      <w:pPr>
        <w:pStyle w:val="Prrafodelista"/>
        <w:numPr>
          <w:ilvl w:val="0"/>
          <w:numId w:val="25"/>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ED1CD6">
        <w:rPr>
          <w:rFonts w:ascii="Verdana" w:hAnsi="Verdana" w:cs="Arial"/>
          <w:sz w:val="20"/>
          <w:szCs w:val="20"/>
        </w:rPr>
        <w:t>alor total de los activos bajo administración del fondo o patrimonio autónomo</w:t>
      </w:r>
      <w:r>
        <w:rPr>
          <w:rFonts w:ascii="Verdana" w:hAnsi="Verdana" w:cs="Arial"/>
          <w:sz w:val="20"/>
          <w:szCs w:val="20"/>
        </w:rPr>
        <w:t>.</w:t>
      </w:r>
      <w:r w:rsidR="00536FAD" w:rsidRPr="00ED1CD6">
        <w:rPr>
          <w:rFonts w:ascii="Verdana" w:hAnsi="Verdana" w:cs="Arial"/>
          <w:sz w:val="20"/>
          <w:szCs w:val="20"/>
        </w:rPr>
        <w:t xml:space="preserve"> </w:t>
      </w:r>
    </w:p>
    <w:p w14:paraId="085A082F" w14:textId="77777777" w:rsidR="00ED1CD6" w:rsidRDefault="00ED1CD6" w:rsidP="00ED1CD6">
      <w:pPr>
        <w:pStyle w:val="Prrafodelista"/>
        <w:spacing w:line="0" w:lineRule="atLeast"/>
        <w:ind w:left="567"/>
        <w:jc w:val="both"/>
        <w:rPr>
          <w:rFonts w:ascii="Verdana" w:hAnsi="Verdana" w:cs="Arial"/>
          <w:sz w:val="20"/>
          <w:szCs w:val="20"/>
        </w:rPr>
      </w:pPr>
    </w:p>
    <w:p w14:paraId="0106B015" w14:textId="77777777" w:rsidR="00ED1CD6" w:rsidRDefault="00ED1CD6" w:rsidP="00ED1CD6">
      <w:pPr>
        <w:pStyle w:val="Prrafodelista"/>
        <w:numPr>
          <w:ilvl w:val="0"/>
          <w:numId w:val="25"/>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ED1CD6">
        <w:rPr>
          <w:rFonts w:ascii="Verdana" w:hAnsi="Verdana" w:cs="Arial"/>
          <w:sz w:val="20"/>
          <w:szCs w:val="20"/>
        </w:rPr>
        <w:t>alor total de los pasivos del fondo o patrimonio autónomo</w:t>
      </w:r>
      <w:r>
        <w:rPr>
          <w:rFonts w:ascii="Verdana" w:hAnsi="Verdana" w:cs="Arial"/>
          <w:sz w:val="20"/>
          <w:szCs w:val="20"/>
        </w:rPr>
        <w:t xml:space="preserve">. </w:t>
      </w:r>
    </w:p>
    <w:p w14:paraId="789DC3C8" w14:textId="77777777" w:rsidR="00ED1CD6" w:rsidRPr="00ED1CD6" w:rsidRDefault="00ED1CD6" w:rsidP="00ED1CD6">
      <w:pPr>
        <w:pStyle w:val="Prrafodelista"/>
        <w:rPr>
          <w:rFonts w:ascii="Verdana" w:hAnsi="Verdana" w:cs="Arial"/>
          <w:sz w:val="20"/>
          <w:szCs w:val="20"/>
        </w:rPr>
      </w:pPr>
    </w:p>
    <w:p w14:paraId="64F715B8" w14:textId="77777777" w:rsidR="00ED1CD6" w:rsidRDefault="00ED1CD6" w:rsidP="00ED1CD6">
      <w:pPr>
        <w:pStyle w:val="Prrafodelista"/>
        <w:numPr>
          <w:ilvl w:val="0"/>
          <w:numId w:val="25"/>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ED1CD6">
        <w:rPr>
          <w:rFonts w:ascii="Verdana" w:hAnsi="Verdana" w:cs="Arial"/>
          <w:sz w:val="20"/>
          <w:szCs w:val="20"/>
        </w:rPr>
        <w:t>alor total del patrimonio del fondo o patrimonio autónomo</w:t>
      </w:r>
      <w:r>
        <w:rPr>
          <w:rFonts w:ascii="Verdana" w:hAnsi="Verdana" w:cs="Arial"/>
          <w:sz w:val="20"/>
          <w:szCs w:val="20"/>
        </w:rPr>
        <w:t xml:space="preserve">. </w:t>
      </w:r>
    </w:p>
    <w:p w14:paraId="76091E3D" w14:textId="77777777" w:rsidR="00ED1CD6" w:rsidRPr="00ED1CD6" w:rsidRDefault="00ED1CD6" w:rsidP="00ED1CD6">
      <w:pPr>
        <w:pStyle w:val="Prrafodelista"/>
        <w:rPr>
          <w:rFonts w:ascii="Verdana" w:hAnsi="Verdana" w:cs="Arial"/>
          <w:sz w:val="20"/>
          <w:szCs w:val="20"/>
        </w:rPr>
      </w:pPr>
    </w:p>
    <w:p w14:paraId="36C31A3C" w14:textId="77777777" w:rsidR="00ED1CD6" w:rsidRDefault="00ED1CD6" w:rsidP="00ED1CD6">
      <w:pPr>
        <w:pStyle w:val="Prrafodelista"/>
        <w:numPr>
          <w:ilvl w:val="0"/>
          <w:numId w:val="25"/>
        </w:numPr>
        <w:spacing w:line="0" w:lineRule="atLeast"/>
        <w:ind w:left="567" w:hanging="567"/>
        <w:jc w:val="both"/>
        <w:rPr>
          <w:rFonts w:ascii="Verdana" w:hAnsi="Verdana" w:cs="Arial"/>
          <w:sz w:val="20"/>
          <w:szCs w:val="20"/>
        </w:rPr>
      </w:pPr>
      <w:r>
        <w:rPr>
          <w:rFonts w:ascii="Verdana" w:hAnsi="Verdana" w:cs="Arial"/>
          <w:sz w:val="20"/>
          <w:szCs w:val="20"/>
        </w:rPr>
        <w:t>C</w:t>
      </w:r>
      <w:r w:rsidR="0021350F" w:rsidRPr="00ED1CD6">
        <w:rPr>
          <w:rFonts w:ascii="Verdana" w:hAnsi="Verdana" w:cs="Arial"/>
          <w:sz w:val="20"/>
          <w:szCs w:val="20"/>
        </w:rPr>
        <w:t>ada una de las clases de activos subyacentes admisibles para cada fondo o patrimonio autónomo, de acuerdo con lo establecido en la política de inversión</w:t>
      </w:r>
      <w:r>
        <w:rPr>
          <w:rFonts w:ascii="Verdana" w:hAnsi="Verdana" w:cs="Arial"/>
          <w:sz w:val="20"/>
          <w:szCs w:val="20"/>
        </w:rPr>
        <w:t>.</w:t>
      </w:r>
    </w:p>
    <w:p w14:paraId="75D25360" w14:textId="77777777" w:rsidR="00ED1CD6" w:rsidRPr="00ED1CD6" w:rsidRDefault="00ED1CD6" w:rsidP="00ED1CD6">
      <w:pPr>
        <w:pStyle w:val="Prrafodelista"/>
        <w:rPr>
          <w:rFonts w:ascii="Verdana" w:hAnsi="Verdana" w:cs="Arial"/>
          <w:sz w:val="20"/>
          <w:szCs w:val="20"/>
        </w:rPr>
      </w:pPr>
    </w:p>
    <w:p w14:paraId="298B01B3" w14:textId="77777777" w:rsidR="00ED1CD6" w:rsidRDefault="00ED1CD6" w:rsidP="00ED1CD6">
      <w:pPr>
        <w:pStyle w:val="Prrafodelista"/>
        <w:numPr>
          <w:ilvl w:val="0"/>
          <w:numId w:val="25"/>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ED1CD6">
        <w:rPr>
          <w:rFonts w:ascii="Verdana" w:hAnsi="Verdana" w:cs="Arial"/>
          <w:sz w:val="20"/>
          <w:szCs w:val="20"/>
        </w:rPr>
        <w:t>l máximo porcentaje de exposición permitido para cada clase de activos</w:t>
      </w:r>
      <w:r>
        <w:rPr>
          <w:rFonts w:ascii="Verdana" w:hAnsi="Verdana" w:cs="Arial"/>
          <w:sz w:val="20"/>
          <w:szCs w:val="20"/>
        </w:rPr>
        <w:t>.</w:t>
      </w:r>
    </w:p>
    <w:p w14:paraId="54CCFFFA" w14:textId="77777777" w:rsidR="00ED1CD6" w:rsidRPr="00ED1CD6" w:rsidRDefault="00ED1CD6" w:rsidP="00ED1CD6">
      <w:pPr>
        <w:pStyle w:val="Prrafodelista"/>
        <w:rPr>
          <w:rFonts w:ascii="Verdana" w:hAnsi="Verdana" w:cs="Arial"/>
          <w:sz w:val="20"/>
          <w:szCs w:val="20"/>
        </w:rPr>
      </w:pPr>
    </w:p>
    <w:p w14:paraId="135C45DB" w14:textId="77777777" w:rsidR="00ED1CD6" w:rsidRDefault="00ED1CD6" w:rsidP="00ED1CD6">
      <w:pPr>
        <w:pStyle w:val="Prrafodelista"/>
        <w:numPr>
          <w:ilvl w:val="0"/>
          <w:numId w:val="25"/>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ED1CD6">
        <w:rPr>
          <w:rFonts w:ascii="Verdana" w:hAnsi="Verdana" w:cs="Arial"/>
          <w:sz w:val="20"/>
          <w:szCs w:val="20"/>
        </w:rPr>
        <w:t>l máximo porcentaje de ponderación aplicable a cada clase de activos</w:t>
      </w:r>
      <w:r>
        <w:rPr>
          <w:rFonts w:ascii="Verdana" w:hAnsi="Verdana" w:cs="Arial"/>
          <w:sz w:val="20"/>
          <w:szCs w:val="20"/>
        </w:rPr>
        <w:t>.</w:t>
      </w:r>
      <w:r w:rsidR="00536FAD" w:rsidRPr="00ED1CD6">
        <w:rPr>
          <w:rFonts w:ascii="Verdana" w:hAnsi="Verdana" w:cs="Arial"/>
          <w:sz w:val="20"/>
          <w:szCs w:val="20"/>
        </w:rPr>
        <w:t xml:space="preserve"> </w:t>
      </w:r>
    </w:p>
    <w:p w14:paraId="55F08C98" w14:textId="77777777" w:rsidR="00ED1CD6" w:rsidRPr="00ED1CD6" w:rsidRDefault="00ED1CD6" w:rsidP="00ED1CD6">
      <w:pPr>
        <w:pStyle w:val="Prrafodelista"/>
        <w:rPr>
          <w:rFonts w:ascii="Verdana" w:hAnsi="Verdana" w:cs="Arial"/>
          <w:sz w:val="20"/>
          <w:szCs w:val="20"/>
        </w:rPr>
      </w:pPr>
    </w:p>
    <w:p w14:paraId="397B611E" w14:textId="77777777" w:rsidR="00ED1CD6" w:rsidRDefault="00ED1CD6" w:rsidP="00ED1CD6">
      <w:pPr>
        <w:pStyle w:val="Prrafodelista"/>
        <w:numPr>
          <w:ilvl w:val="0"/>
          <w:numId w:val="25"/>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ED1CD6">
        <w:rPr>
          <w:rFonts w:ascii="Verdana" w:hAnsi="Verdana" w:cs="Arial"/>
          <w:sz w:val="20"/>
          <w:szCs w:val="20"/>
        </w:rPr>
        <w:t>alor nominal total máximo permitido para operaciones con instrumentos financieros derivados, de acuerdo con la política de inversión, o información que permita deducirlo</w:t>
      </w:r>
      <w:r>
        <w:rPr>
          <w:rFonts w:ascii="Verdana" w:hAnsi="Verdana" w:cs="Arial"/>
          <w:sz w:val="20"/>
          <w:szCs w:val="20"/>
        </w:rPr>
        <w:t>.</w:t>
      </w:r>
      <w:r w:rsidR="00536FAD" w:rsidRPr="00ED1CD6">
        <w:rPr>
          <w:rFonts w:ascii="Verdana" w:hAnsi="Verdana" w:cs="Arial"/>
          <w:sz w:val="20"/>
          <w:szCs w:val="20"/>
        </w:rPr>
        <w:t xml:space="preserve"> </w:t>
      </w:r>
    </w:p>
    <w:p w14:paraId="4D499BCE" w14:textId="77777777" w:rsidR="00ED1CD6" w:rsidRPr="00ED1CD6" w:rsidRDefault="00ED1CD6" w:rsidP="00ED1CD6">
      <w:pPr>
        <w:pStyle w:val="Prrafodelista"/>
        <w:rPr>
          <w:rFonts w:ascii="Verdana" w:hAnsi="Verdana" w:cs="Arial"/>
          <w:sz w:val="20"/>
          <w:szCs w:val="20"/>
        </w:rPr>
      </w:pPr>
    </w:p>
    <w:p w14:paraId="1B432A6F" w14:textId="0E179352" w:rsidR="0021350F" w:rsidRPr="00ED1CD6" w:rsidRDefault="00ED1CD6" w:rsidP="00ED1CD6">
      <w:pPr>
        <w:pStyle w:val="Prrafodelista"/>
        <w:numPr>
          <w:ilvl w:val="0"/>
          <w:numId w:val="25"/>
        </w:numPr>
        <w:spacing w:line="0" w:lineRule="atLeast"/>
        <w:ind w:left="567" w:hanging="567"/>
        <w:jc w:val="both"/>
        <w:rPr>
          <w:rFonts w:ascii="Verdana" w:hAnsi="Verdana" w:cs="Arial"/>
          <w:sz w:val="20"/>
          <w:szCs w:val="20"/>
        </w:rPr>
      </w:pPr>
      <w:r>
        <w:rPr>
          <w:rFonts w:ascii="Verdana" w:hAnsi="Verdana" w:cs="Arial"/>
          <w:sz w:val="20"/>
          <w:szCs w:val="20"/>
        </w:rPr>
        <w:t>P</w:t>
      </w:r>
      <w:r w:rsidR="0021350F" w:rsidRPr="00ED1CD6">
        <w:rPr>
          <w:rFonts w:ascii="Verdana" w:hAnsi="Verdana" w:cs="Arial"/>
          <w:sz w:val="20"/>
          <w:szCs w:val="20"/>
        </w:rPr>
        <w:t xml:space="preserve">erfil y calificación general de las contrapartes permitidas para operaciones con instrumentos financieros derivados. En todo caso, esta información debe ser suficiente para calcular el requerimiento </w:t>
      </w:r>
      <m:oMath>
        <m:r>
          <w:rPr>
            <w:rFonts w:ascii="Cambria Math" w:hAnsi="Cambria Math" w:cs="Arial"/>
            <w:sz w:val="20"/>
            <w:szCs w:val="20"/>
          </w:rPr>
          <m:t>Z</m:t>
        </m:r>
      </m:oMath>
      <w:r w:rsidR="0021350F" w:rsidRPr="00ED1CD6">
        <w:rPr>
          <w:rFonts w:ascii="Verdana" w:hAnsi="Verdana" w:cs="Arial"/>
          <w:sz w:val="20"/>
          <w:szCs w:val="20"/>
        </w:rPr>
        <w:t xml:space="preserve">, en caso de que el respectivo fondo o patrimonio autónomo realice operaciones con derivados. </w:t>
      </w:r>
    </w:p>
    <w:p w14:paraId="4D53FC87" w14:textId="77777777" w:rsidR="00390326" w:rsidRDefault="00390326" w:rsidP="00390326">
      <w:pPr>
        <w:pStyle w:val="Prrafodelista"/>
        <w:tabs>
          <w:tab w:val="left" w:pos="1701"/>
        </w:tabs>
        <w:spacing w:line="0" w:lineRule="atLeast"/>
        <w:jc w:val="both"/>
        <w:rPr>
          <w:rFonts w:ascii="Verdana" w:hAnsi="Verdana" w:cs="Arial"/>
          <w:b/>
          <w:bCs/>
          <w:sz w:val="20"/>
          <w:szCs w:val="20"/>
        </w:rPr>
      </w:pPr>
    </w:p>
    <w:p w14:paraId="211780FE" w14:textId="7ABAF7AA" w:rsidR="0021350F" w:rsidRPr="00AE3FA8" w:rsidRDefault="0021350F" w:rsidP="0021350F">
      <w:pPr>
        <w:pStyle w:val="Prrafodelista"/>
        <w:numPr>
          <w:ilvl w:val="0"/>
          <w:numId w:val="21"/>
        </w:numPr>
        <w:tabs>
          <w:tab w:val="left" w:pos="1701"/>
        </w:tabs>
        <w:spacing w:line="0" w:lineRule="atLeast"/>
        <w:ind w:left="284" w:hanging="284"/>
        <w:jc w:val="both"/>
        <w:rPr>
          <w:rFonts w:ascii="Verdana" w:hAnsi="Verdana" w:cs="Arial"/>
          <w:b/>
          <w:bCs/>
          <w:sz w:val="20"/>
          <w:szCs w:val="20"/>
        </w:rPr>
      </w:pPr>
      <w:r w:rsidRPr="00390326">
        <w:rPr>
          <w:rFonts w:ascii="Verdana" w:hAnsi="Verdana" w:cs="Arial"/>
          <w:b/>
          <w:bCs/>
          <w:sz w:val="20"/>
          <w:szCs w:val="20"/>
        </w:rPr>
        <w:t>Ponderación apalancada</w:t>
      </w:r>
    </w:p>
    <w:p w14:paraId="70F70614" w14:textId="70ABFEBF"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3F2544">
        <w:rPr>
          <w:rFonts w:ascii="Verdana" w:hAnsi="Verdana" w:cs="Arial"/>
          <w:bCs/>
          <w:sz w:val="20"/>
          <w:szCs w:val="20"/>
        </w:rPr>
        <w:t>50</w:t>
      </w:r>
      <w:r w:rsidRPr="00A2626A">
        <w:rPr>
          <w:rFonts w:ascii="Verdana" w:hAnsi="Verdana" w:cs="Arial"/>
          <w:bCs/>
          <w:sz w:val="20"/>
          <w:szCs w:val="20"/>
        </w:rPr>
        <w:t>.</w:t>
      </w:r>
    </w:p>
    <w:p w14:paraId="5A2112B0" w14:textId="7306774A"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En los casos en que se realicen inversiones en patrimonios autónomos o fondos con operaciones de naturaleza apalancada, de conformidad con lo previsto en los artículos 3.1.1.5.1 y siguientes del Decreto 2555 de 2010, se debe aplicar la siguiente expresión, sujeto a un tope de 1.111%, considerando que el nivel de apalancamiento implica un mayor cargo de capital:</w:t>
      </w:r>
    </w:p>
    <w:p w14:paraId="6A3237A8" w14:textId="38A1AFFD" w:rsidR="0021350F" w:rsidRPr="00923E21" w:rsidRDefault="0021350F" w:rsidP="0021350F">
      <w:pPr>
        <w:spacing w:line="0" w:lineRule="atLeast"/>
        <w:jc w:val="both"/>
        <w:rPr>
          <w:rFonts w:ascii="Verdana" w:hAnsi="Verdana" w:cs="Arial"/>
          <w:sz w:val="20"/>
          <w:szCs w:val="20"/>
        </w:rPr>
      </w:pPr>
      <m:oMathPara>
        <m:oMath>
          <m:r>
            <w:rPr>
              <w:rFonts w:ascii="Cambria Math" w:hAnsi="Cambria Math" w:cs="Arial"/>
              <w:sz w:val="20"/>
              <w:szCs w:val="20"/>
            </w:rPr>
            <m:t xml:space="preserve">Porcentaje de ponderación=Min </m:t>
          </m:r>
          <m:d>
            <m:dPr>
              <m:begChr m:val="{"/>
              <m:endChr m:val="}"/>
              <m:ctrlPr>
                <w:rPr>
                  <w:rFonts w:ascii="Cambria Math" w:hAnsi="Cambria Math" w:cs="Arial"/>
                  <w:i/>
                  <w:sz w:val="20"/>
                  <w:szCs w:val="20"/>
                </w:rPr>
              </m:ctrlPr>
            </m:dPr>
            <m:e>
              <m:r>
                <w:rPr>
                  <w:rFonts w:ascii="Cambria Math" w:hAnsi="Cambria Math" w:cs="Arial"/>
                  <w:sz w:val="20"/>
                  <w:szCs w:val="20"/>
                </w:rPr>
                <m:t>1.111%, Ponderador estimado</m:t>
              </m:r>
            </m:e>
          </m:d>
        </m:oMath>
      </m:oMathPara>
    </w:p>
    <w:p w14:paraId="1DB90DD8" w14:textId="069A3275" w:rsidR="0021350F" w:rsidRPr="00923E21" w:rsidRDefault="0021350F" w:rsidP="0021350F">
      <w:pPr>
        <w:spacing w:line="0" w:lineRule="atLeast"/>
        <w:jc w:val="both"/>
        <w:rPr>
          <w:rFonts w:ascii="Verdana" w:hAnsi="Verdana" w:cs="Arial"/>
          <w:sz w:val="20"/>
          <w:szCs w:val="20"/>
        </w:rPr>
      </w:pPr>
      <w:r w:rsidRPr="0050A195">
        <w:rPr>
          <w:rFonts w:ascii="Verdana" w:hAnsi="Verdana" w:cs="Arial"/>
          <w:sz w:val="20"/>
          <w:szCs w:val="20"/>
        </w:rPr>
        <w:t xml:space="preserve">El </w:t>
      </w:r>
      <m:oMath>
        <m:r>
          <w:rPr>
            <w:rFonts w:ascii="Cambria Math" w:hAnsi="Cambria Math" w:cs="Arial"/>
            <w:sz w:val="20"/>
            <w:szCs w:val="20"/>
          </w:rPr>
          <m:t>Ponderador estimado</m:t>
        </m:r>
      </m:oMath>
      <w:r w:rsidRPr="0050A195">
        <w:rPr>
          <w:rFonts w:ascii="Verdana" w:hAnsi="Verdana" w:cs="Arial"/>
          <w:sz w:val="20"/>
          <w:szCs w:val="20"/>
        </w:rPr>
        <w:t xml:space="preserve"> se determinará de acuerdo con la siguiente metodología: </w:t>
      </w:r>
    </w:p>
    <w:p w14:paraId="5F54E0E6" w14:textId="127C6A8E" w:rsidR="0021350F" w:rsidRPr="00D7114F" w:rsidRDefault="0021350F" w:rsidP="00F72C18">
      <w:pPr>
        <w:pStyle w:val="Prrafodelista"/>
        <w:numPr>
          <w:ilvl w:val="0"/>
          <w:numId w:val="10"/>
        </w:numPr>
        <w:spacing w:after="0" w:line="0" w:lineRule="atLeast"/>
        <w:ind w:left="567" w:hanging="567"/>
        <w:jc w:val="both"/>
        <w:rPr>
          <w:rFonts w:ascii="Verdana" w:hAnsi="Verdana" w:cs="Arial"/>
          <w:sz w:val="20"/>
          <w:szCs w:val="20"/>
        </w:rPr>
      </w:pPr>
      <w:r w:rsidRPr="00D7114F">
        <w:rPr>
          <w:rFonts w:ascii="Verdana" w:hAnsi="Verdana" w:cs="Arial"/>
          <w:sz w:val="20"/>
          <w:szCs w:val="20"/>
        </w:rPr>
        <w:t>Calcular los activos ponderados por riesgo del fondo o patrimonio autónomo, de acuerdo con el método de ponderación directa o por mandato definidos</w:t>
      </w:r>
      <w:r w:rsidR="00F322EF">
        <w:rPr>
          <w:rFonts w:ascii="Verdana" w:hAnsi="Verdana" w:cs="Arial"/>
          <w:sz w:val="20"/>
          <w:szCs w:val="20"/>
        </w:rPr>
        <w:t xml:space="preserve"> en la presente sección </w:t>
      </w:r>
      <w:r w:rsidRPr="00D7114F">
        <w:rPr>
          <w:rFonts w:ascii="Verdana" w:hAnsi="Verdana" w:cs="Arial"/>
          <w:sz w:val="20"/>
          <w:szCs w:val="20"/>
        </w:rPr>
        <w:t>respectivamente, y considerando las clasificaciones de ponderación de riesgo para cada uno de los activos o clase de activos.</w:t>
      </w:r>
    </w:p>
    <w:p w14:paraId="28897980" w14:textId="77777777" w:rsidR="00242FB0" w:rsidRPr="00923E21" w:rsidRDefault="00242FB0" w:rsidP="00242FB0">
      <w:pPr>
        <w:pStyle w:val="Prrafodelista"/>
        <w:spacing w:after="0" w:line="0" w:lineRule="atLeast"/>
        <w:ind w:left="360"/>
        <w:jc w:val="both"/>
        <w:rPr>
          <w:rFonts w:ascii="Verdana" w:hAnsi="Verdana" w:cs="Arial"/>
          <w:sz w:val="20"/>
          <w:szCs w:val="20"/>
        </w:rPr>
      </w:pPr>
    </w:p>
    <w:p w14:paraId="5644B1B1" w14:textId="0CFB487D" w:rsidR="0021350F" w:rsidRPr="00D7114F" w:rsidRDefault="0021350F" w:rsidP="00F72C18">
      <w:pPr>
        <w:pStyle w:val="Prrafodelista"/>
        <w:numPr>
          <w:ilvl w:val="0"/>
          <w:numId w:val="10"/>
        </w:numPr>
        <w:spacing w:after="0" w:line="0" w:lineRule="atLeast"/>
        <w:ind w:left="567" w:hanging="567"/>
        <w:jc w:val="both"/>
        <w:rPr>
          <w:rFonts w:ascii="Verdana" w:hAnsi="Verdana" w:cs="Arial"/>
          <w:sz w:val="20"/>
          <w:szCs w:val="20"/>
        </w:rPr>
      </w:pPr>
      <w:r w:rsidRPr="00D7114F">
        <w:rPr>
          <w:rFonts w:ascii="Verdana" w:hAnsi="Verdana" w:cs="Arial"/>
          <w:sz w:val="20"/>
          <w:szCs w:val="20"/>
        </w:rPr>
        <w:t>Calcular la ponderación del riesgo promedio del fondo o patrimonio autónomo determinada como el cociente entre los activos totales ponderados por riesgo anteriormente calculados y los activos totales del fondo o patrimonio autónomo.</w:t>
      </w:r>
    </w:p>
    <w:p w14:paraId="59958A96" w14:textId="77777777" w:rsidR="00AE3FA8" w:rsidRDefault="00AE3FA8" w:rsidP="000F66EB">
      <w:pPr>
        <w:tabs>
          <w:tab w:val="left" w:pos="540"/>
        </w:tabs>
        <w:spacing w:after="0" w:line="240" w:lineRule="auto"/>
        <w:jc w:val="both"/>
        <w:rPr>
          <w:rFonts w:ascii="Verdana" w:hAnsi="Verdana" w:cs="Arial"/>
          <w:sz w:val="20"/>
          <w:szCs w:val="20"/>
        </w:rPr>
      </w:pPr>
    </w:p>
    <w:p w14:paraId="6BF8946D" w14:textId="23E17AE3"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3F2544">
        <w:rPr>
          <w:rFonts w:ascii="Verdana" w:hAnsi="Verdana" w:cs="Arial"/>
          <w:bCs/>
          <w:sz w:val="20"/>
          <w:szCs w:val="20"/>
        </w:rPr>
        <w:t>51</w:t>
      </w:r>
      <w:r w:rsidRPr="00A2626A">
        <w:rPr>
          <w:rFonts w:ascii="Verdana" w:hAnsi="Verdana" w:cs="Arial"/>
          <w:bCs/>
          <w:sz w:val="20"/>
          <w:szCs w:val="20"/>
        </w:rPr>
        <w:t>.</w:t>
      </w:r>
    </w:p>
    <w:p w14:paraId="2F8BDB63" w14:textId="18024F0A" w:rsidR="0021350F" w:rsidRPr="00923E21" w:rsidRDefault="0021350F" w:rsidP="00AE3FA8">
      <w:pPr>
        <w:spacing w:line="0" w:lineRule="atLeast"/>
        <w:jc w:val="both"/>
        <w:rPr>
          <w:rFonts w:ascii="Verdana" w:hAnsi="Verdana" w:cs="Arial"/>
          <w:sz w:val="20"/>
          <w:szCs w:val="20"/>
        </w:rPr>
      </w:pPr>
      <w:r w:rsidRPr="00923E21">
        <w:rPr>
          <w:rFonts w:ascii="Verdana" w:hAnsi="Verdana" w:cs="Arial"/>
          <w:sz w:val="20"/>
          <w:szCs w:val="20"/>
        </w:rPr>
        <w:t xml:space="preserve">Una vez calculado el </w:t>
      </w:r>
      <m:oMath>
        <m:r>
          <w:rPr>
            <w:rFonts w:ascii="Cambria Math" w:hAnsi="Cambria Math" w:cs="Arial"/>
            <w:sz w:val="20"/>
            <w:szCs w:val="20"/>
          </w:rPr>
          <m:t>Porcentaje de ponderación</m:t>
        </m:r>
      </m:oMath>
      <w:r w:rsidRPr="00923E21">
        <w:rPr>
          <w:rFonts w:ascii="Verdana" w:hAnsi="Verdana" w:cs="Arial"/>
          <w:sz w:val="20"/>
          <w:szCs w:val="20"/>
        </w:rPr>
        <w:t>, se debe estimar el valor de los activos ponderados por nivel de riesgo, aplicando la siguiente expresión.</w:t>
      </w:r>
    </w:p>
    <w:p w14:paraId="236C22A2"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APNR</m:t>
              </m:r>
            </m:e>
            <m:sub>
              <m:r>
                <w:rPr>
                  <w:rFonts w:ascii="Cambria Math" w:hAnsi="Cambria Math" w:cs="Arial"/>
                  <w:sz w:val="20"/>
                  <w:szCs w:val="20"/>
                </w:rPr>
                <m:t>a</m:t>
              </m:r>
            </m:sub>
          </m:sSub>
          <m:r>
            <w:rPr>
              <w:rFonts w:ascii="Cambria Math" w:hAnsi="Cambria Math" w:cs="Arial"/>
              <w:sz w:val="20"/>
              <w:szCs w:val="20"/>
            </w:rPr>
            <m:t>=Porcentaje de ponderación*</m:t>
          </m:r>
          <m:sSub>
            <m:sSubPr>
              <m:ctrlPr>
                <w:rPr>
                  <w:rFonts w:ascii="Cambria Math" w:hAnsi="Cambria Math" w:cs="Arial"/>
                  <w:i/>
                  <w:sz w:val="20"/>
                  <w:szCs w:val="20"/>
                </w:rPr>
              </m:ctrlPr>
            </m:sSubPr>
            <m:e>
              <m:r>
                <w:rPr>
                  <w:rFonts w:ascii="Cambria Math" w:hAnsi="Cambria Math" w:cs="Arial"/>
                  <w:sz w:val="20"/>
                  <w:szCs w:val="20"/>
                </w:rPr>
                <m:t>apl</m:t>
              </m:r>
            </m:e>
            <m:sub>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m:oMathPara>
    </w:p>
    <w:p w14:paraId="7A766BB9"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6D7C2422" w14:textId="0B0E04EA" w:rsidR="0021350F" w:rsidRPr="00923E21" w:rsidRDefault="00AE3FA8" w:rsidP="0021350F">
      <w:pPr>
        <w:spacing w:line="0" w:lineRule="atLeast"/>
        <w:jc w:val="both"/>
        <w:rPr>
          <w:rFonts w:ascii="Verdana" w:hAnsi="Verdana" w:cs="Arial"/>
          <w:sz w:val="20"/>
          <w:szCs w:val="20"/>
        </w:rPr>
      </w:pPr>
      <m:oMath>
        <m:r>
          <w:rPr>
            <w:rFonts w:ascii="Cambria Math" w:hAnsi="Cambria Math" w:cs="Arial"/>
            <w:sz w:val="20"/>
            <w:szCs w:val="20"/>
          </w:rPr>
          <m:t>a</m:t>
        </m:r>
      </m:oMath>
      <w:r w:rsidR="0021350F" w:rsidRPr="00AE3FA8">
        <w:rPr>
          <w:rFonts w:ascii="Verdana" w:hAnsi="Verdana" w:cs="Arial"/>
          <w:bCs/>
          <w:sz w:val="20"/>
          <w:szCs w:val="20"/>
        </w:rPr>
        <w:t>:</w:t>
      </w:r>
      <w:r w:rsidR="0021350F" w:rsidRPr="00923E21">
        <w:rPr>
          <w:rFonts w:ascii="Verdana" w:hAnsi="Verdana" w:cs="Arial"/>
          <w:sz w:val="20"/>
          <w:szCs w:val="20"/>
        </w:rPr>
        <w:t xml:space="preserve"> corresponde al fondo o patrimonio autónomo para el que se realiza el cálculo.</w:t>
      </w:r>
    </w:p>
    <w:p w14:paraId="16F85071" w14:textId="3B6DAF92"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sz w:val="20"/>
                <w:szCs w:val="20"/>
              </w:rPr>
            </m:ctrlPr>
          </m:sSubPr>
          <m:e>
            <m:r>
              <w:rPr>
                <w:rFonts w:ascii="Cambria Math" w:hAnsi="Cambria Math" w:cs="Arial"/>
                <w:sz w:val="20"/>
                <w:szCs w:val="20"/>
              </w:rPr>
              <m:t>apl</m:t>
            </m:r>
          </m:e>
          <m:sub>
            <m:r>
              <w:rPr>
                <w:rFonts w:ascii="Cambria Math" w:hAnsi="Cambria Math" w:cs="Arial"/>
                <w:sz w:val="20"/>
                <w:szCs w:val="20"/>
              </w:rPr>
              <m:t>a</m:t>
            </m:r>
          </m:sub>
        </m:sSub>
      </m:oMath>
      <w:r w:rsidR="0021350F" w:rsidRPr="00AE3FA8">
        <w:rPr>
          <w:rFonts w:ascii="Verdana" w:hAnsi="Verdana" w:cs="Arial"/>
          <w:sz w:val="20"/>
          <w:szCs w:val="20"/>
        </w:rPr>
        <w:t>:</w:t>
      </w:r>
      <w:r w:rsidR="0021350F" w:rsidRPr="00923E21">
        <w:rPr>
          <w:rFonts w:ascii="Verdana" w:hAnsi="Verdana" w:cs="Arial"/>
          <w:sz w:val="20"/>
          <w:szCs w:val="20"/>
        </w:rPr>
        <w:t xml:space="preserve"> corresponde al porcentaje de apalancamiento observado (si el método de base es el método directo) o al porcentaje máximo de apalancamiento financiero del fondo o del patrimonio autónomo permitido en el mandato o reglamento (si el método de base es el método por mandato), determinado como el cociente entre el valor del </w:t>
      </w:r>
      <m:oMath>
        <m:r>
          <w:rPr>
            <w:rFonts w:ascii="Cambria Math" w:hAnsi="Cambria Math" w:cs="Arial"/>
            <w:sz w:val="20"/>
            <w:szCs w:val="20"/>
          </w:rPr>
          <m:t>T</m:t>
        </m:r>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923E21">
        <w:rPr>
          <w:rFonts w:ascii="Verdana" w:hAnsi="Verdana" w:cs="Arial"/>
          <w:sz w:val="20"/>
          <w:szCs w:val="20"/>
        </w:rPr>
        <w:t xml:space="preserve">  y el patrimonio del fondo o patrimonio autónomo </w:t>
      </w:r>
      <m:oMath>
        <m:r>
          <w:rPr>
            <w:rFonts w:ascii="Cambria Math" w:hAnsi="Cambria Math" w:cs="Arial"/>
            <w:sz w:val="20"/>
            <w:szCs w:val="20"/>
          </w:rPr>
          <m:t>a</m:t>
        </m:r>
      </m:oMath>
      <w:r w:rsidR="0021350F" w:rsidRPr="00923E21">
        <w:rPr>
          <w:rFonts w:ascii="Verdana" w:hAnsi="Verdana" w:cs="Arial"/>
          <w:sz w:val="20"/>
          <w:szCs w:val="20"/>
        </w:rPr>
        <w:t>, cuando la política de inversión correspondiente permita realizar operaciones apalancadas, incluyendo tomar posiciones largas en activos o cualquier tipo de operación que permita exponer al fondo o el patrimonio autónomo más allá del valor de su patrimonio.</w:t>
      </w:r>
    </w:p>
    <w:p w14:paraId="65D563C6" w14:textId="7FACF73F" w:rsidR="0021350F" w:rsidRPr="00923E21" w:rsidRDefault="00AE3FA8" w:rsidP="0021350F">
      <w:pPr>
        <w:spacing w:line="0" w:lineRule="atLeast"/>
        <w:jc w:val="both"/>
        <w:rPr>
          <w:rFonts w:ascii="Verdana" w:hAnsi="Verdana" w:cs="Arial"/>
          <w:sz w:val="20"/>
          <w:szCs w:val="20"/>
        </w:rPr>
      </w:pPr>
      <m:oMath>
        <m:r>
          <w:rPr>
            <w:rFonts w:ascii="Cambria Math" w:hAnsi="Cambria Math" w:cs="Arial"/>
            <w:sz w:val="20"/>
            <w:szCs w:val="20"/>
          </w:rPr>
          <m:t>T.</m:t>
        </m:r>
        <m:sSub>
          <m:sSubPr>
            <m:ctrlPr>
              <w:rPr>
                <w:rFonts w:ascii="Cambria Math" w:hAnsi="Cambria Math" w:cs="Arial"/>
                <w:bCs/>
                <w:i/>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AE3FA8">
        <w:rPr>
          <w:rFonts w:ascii="Verdana" w:hAnsi="Verdana" w:cs="Arial"/>
          <w:bCs/>
          <w:sz w:val="20"/>
          <w:szCs w:val="20"/>
        </w:rPr>
        <w:t>:</w:t>
      </w:r>
      <w:r w:rsidR="0021350F" w:rsidRPr="00923E21">
        <w:rPr>
          <w:rFonts w:ascii="Verdana" w:hAnsi="Verdana" w:cs="Arial"/>
          <w:sz w:val="20"/>
          <w:szCs w:val="20"/>
        </w:rPr>
        <w:t xml:space="preserve"> corresponde al valor total de los activos bajo administración del fondo o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29CD8BC2" w14:textId="16970F1B"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w:r w:rsidR="0021350F" w:rsidRPr="00AE3FA8">
        <w:rPr>
          <w:rFonts w:ascii="Verdana" w:hAnsi="Verdana" w:cs="Arial"/>
          <w:sz w:val="20"/>
          <w:szCs w:val="20"/>
        </w:rPr>
        <w:t>:</w:t>
      </w:r>
      <w:r w:rsidR="0021350F" w:rsidRPr="00923E21">
        <w:rPr>
          <w:rFonts w:ascii="Verdana" w:hAnsi="Verdana" w:cs="Arial"/>
          <w:sz w:val="20"/>
          <w:szCs w:val="20"/>
        </w:rPr>
        <w:t xml:space="preserve"> corresponde al valor de la participación de la AFP en el fondo o patrimonio autónomo </w:t>
      </w:r>
      <m:oMath>
        <m:r>
          <w:rPr>
            <w:rFonts w:ascii="Cambria Math" w:hAnsi="Cambria Math" w:cs="Arial"/>
            <w:sz w:val="20"/>
            <w:szCs w:val="20"/>
          </w:rPr>
          <m:t>a</m:t>
        </m:r>
      </m:oMath>
      <w:r w:rsidR="0021350F" w:rsidRPr="00923E21">
        <w:rPr>
          <w:rFonts w:ascii="Verdana" w:hAnsi="Verdana" w:cs="Arial"/>
          <w:sz w:val="20"/>
          <w:szCs w:val="20"/>
        </w:rPr>
        <w:t>, determinado como:</w:t>
      </w:r>
    </w:p>
    <w:p w14:paraId="78CFFA6E"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r>
            <w:rPr>
              <w:rFonts w:ascii="Cambria Math" w:hAnsi="Cambria Math" w:cs="Arial"/>
              <w:sz w:val="20"/>
              <w:szCs w:val="20"/>
            </w:rPr>
            <m:t>*%participación</m:t>
          </m:r>
        </m:oMath>
      </m:oMathPara>
    </w:p>
    <w:p w14:paraId="72EC9DBA" w14:textId="332EA4B4" w:rsidR="00AE3FA8" w:rsidRPr="00AE3FA8" w:rsidRDefault="00AE3FA8" w:rsidP="0021350F">
      <w:pPr>
        <w:spacing w:line="0" w:lineRule="atLeast"/>
        <w:jc w:val="both"/>
        <w:rPr>
          <w:rFonts w:ascii="Verdana" w:eastAsiaTheme="minorEastAsia" w:hAnsi="Verdana" w:cs="Arial"/>
          <w:bCs/>
          <w:sz w:val="20"/>
          <w:szCs w:val="20"/>
        </w:rPr>
      </w:pPr>
      <w:r>
        <w:rPr>
          <w:rFonts w:ascii="Verdana" w:eastAsiaTheme="minorEastAsia" w:hAnsi="Verdana" w:cs="Arial"/>
          <w:bCs/>
          <w:sz w:val="20"/>
          <w:szCs w:val="20"/>
        </w:rPr>
        <w:t>Donde:</w:t>
      </w:r>
    </w:p>
    <w:p w14:paraId="4381423F" w14:textId="2E5E4E3F" w:rsidR="0021350F" w:rsidRPr="00923E21" w:rsidRDefault="00AE3FA8" w:rsidP="0021350F">
      <w:pPr>
        <w:spacing w:line="0" w:lineRule="atLeast"/>
        <w:jc w:val="both"/>
        <w:rPr>
          <w:rFonts w:ascii="Verdana" w:hAnsi="Verdana" w:cs="Arial"/>
          <w:sz w:val="20"/>
          <w:szCs w:val="20"/>
        </w:rPr>
      </w:pPr>
      <m:oMath>
        <m:r>
          <w:rPr>
            <w:rFonts w:ascii="Cambria Math" w:hAnsi="Cambria Math" w:cs="Arial"/>
            <w:sz w:val="20"/>
            <w:szCs w:val="20"/>
          </w:rPr>
          <m:t>%participación</m:t>
        </m:r>
      </m:oMath>
      <w:r w:rsidR="0021350F" w:rsidRPr="00AE3FA8">
        <w:rPr>
          <w:rFonts w:ascii="Verdana" w:hAnsi="Verdana" w:cs="Arial"/>
          <w:bCs/>
          <w:sz w:val="20"/>
          <w:szCs w:val="20"/>
        </w:rPr>
        <w:t>:</w:t>
      </w:r>
      <w:r w:rsidR="0021350F" w:rsidRPr="00923E21">
        <w:rPr>
          <w:rFonts w:ascii="Verdana" w:hAnsi="Verdana" w:cs="Arial"/>
          <w:sz w:val="20"/>
          <w:szCs w:val="20"/>
        </w:rPr>
        <w:t xml:space="preserve"> corresponde al porcentaje de participación de la AFP en el total de los activos del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a partir de la relación entre el valor de la inversión de la AFP y el valor total de los activos del fondo o patrimonio autónomo.</w:t>
      </w:r>
    </w:p>
    <w:p w14:paraId="599979BB" w14:textId="747862C3"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3F2544">
        <w:rPr>
          <w:rFonts w:ascii="Verdana" w:hAnsi="Verdana" w:cs="Arial"/>
          <w:bCs/>
          <w:sz w:val="20"/>
          <w:szCs w:val="20"/>
        </w:rPr>
        <w:t>52</w:t>
      </w:r>
      <w:r w:rsidRPr="00A2626A">
        <w:rPr>
          <w:rFonts w:ascii="Verdana" w:hAnsi="Verdana" w:cs="Arial"/>
          <w:bCs/>
          <w:sz w:val="20"/>
          <w:szCs w:val="20"/>
        </w:rPr>
        <w:t>.</w:t>
      </w:r>
    </w:p>
    <w:p w14:paraId="6E34FC93" w14:textId="77777777" w:rsidR="0021350F" w:rsidRPr="00923E21" w:rsidRDefault="0021350F" w:rsidP="0050A195">
      <w:pPr>
        <w:spacing w:line="0" w:lineRule="atLeast"/>
        <w:jc w:val="both"/>
        <w:rPr>
          <w:rFonts w:ascii="Verdana" w:hAnsi="Verdana" w:cs="Arial"/>
          <w:sz w:val="20"/>
          <w:szCs w:val="20"/>
        </w:rPr>
      </w:pPr>
      <w:r w:rsidRPr="0050A195">
        <w:rPr>
          <w:rFonts w:ascii="Verdana" w:hAnsi="Verdana" w:cs="Arial"/>
          <w:sz w:val="20"/>
          <w:szCs w:val="20"/>
        </w:rPr>
        <w:t>En cualquier caso, el valor del ponderador final aplicable una vez utilizado el método directo será de máximo 1111%.</w:t>
      </w:r>
    </w:p>
    <w:p w14:paraId="6634EF9F" w14:textId="2C3BFB74"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5</w:t>
      </w:r>
      <w:r w:rsidR="003F2544">
        <w:rPr>
          <w:rFonts w:ascii="Verdana" w:hAnsi="Verdana" w:cs="Arial"/>
          <w:bCs/>
          <w:sz w:val="20"/>
          <w:szCs w:val="20"/>
        </w:rPr>
        <w:t>3</w:t>
      </w:r>
      <w:r w:rsidRPr="00A2626A">
        <w:rPr>
          <w:rFonts w:ascii="Verdana" w:hAnsi="Verdana" w:cs="Arial"/>
          <w:bCs/>
          <w:sz w:val="20"/>
          <w:szCs w:val="20"/>
        </w:rPr>
        <w:t>.</w:t>
      </w:r>
    </w:p>
    <w:p w14:paraId="438A0D70" w14:textId="77777777" w:rsidR="00831536" w:rsidRDefault="0021350F" w:rsidP="0050A195">
      <w:pPr>
        <w:spacing w:line="0" w:lineRule="atLeast"/>
        <w:jc w:val="both"/>
        <w:rPr>
          <w:rFonts w:ascii="Verdana" w:hAnsi="Verdana" w:cs="Arial"/>
          <w:sz w:val="20"/>
          <w:szCs w:val="20"/>
        </w:rPr>
      </w:pPr>
      <w:r w:rsidRPr="0050A195">
        <w:rPr>
          <w:rFonts w:ascii="Verdana" w:hAnsi="Verdana" w:cs="Arial"/>
          <w:sz w:val="20"/>
          <w:szCs w:val="20"/>
        </w:rPr>
        <w:t xml:space="preserve">Para la aplicación de este método las entidades deben obtener información suficiente y frecuente sobre las exposiciones subyacentes del fondo o patrimonio autónomo. Para determinar el activo o la clase de activo y su ponderador correspondiente la entidad debe conocer, además de las condiciones contractuales del fondo o patrimonio autónomo, la siguiente información: </w:t>
      </w:r>
    </w:p>
    <w:p w14:paraId="5867215F" w14:textId="77777777" w:rsidR="00831536" w:rsidRDefault="00831536" w:rsidP="00831536">
      <w:pPr>
        <w:pStyle w:val="Prrafodelista"/>
        <w:numPr>
          <w:ilvl w:val="0"/>
          <w:numId w:val="26"/>
        </w:numPr>
        <w:spacing w:line="0" w:lineRule="atLeast"/>
        <w:ind w:left="567" w:hanging="567"/>
        <w:jc w:val="both"/>
        <w:rPr>
          <w:rFonts w:ascii="Verdana" w:hAnsi="Verdana" w:cs="Arial"/>
          <w:sz w:val="20"/>
          <w:szCs w:val="20"/>
        </w:rPr>
      </w:pPr>
      <w:r>
        <w:rPr>
          <w:rFonts w:ascii="Verdana" w:hAnsi="Verdana" w:cs="Arial"/>
          <w:sz w:val="20"/>
          <w:szCs w:val="20"/>
        </w:rPr>
        <w:t>L</w:t>
      </w:r>
      <w:r w:rsidR="0021350F" w:rsidRPr="00831536">
        <w:rPr>
          <w:rFonts w:ascii="Verdana" w:hAnsi="Verdana" w:cs="Arial"/>
          <w:sz w:val="20"/>
          <w:szCs w:val="20"/>
        </w:rPr>
        <w:t>a información mínima requerida para aplicar el método directo o el método de mandato descritos anteriormente</w:t>
      </w:r>
      <w:r>
        <w:rPr>
          <w:rFonts w:ascii="Verdana" w:hAnsi="Verdana" w:cs="Arial"/>
          <w:sz w:val="20"/>
          <w:szCs w:val="20"/>
        </w:rPr>
        <w:t>.</w:t>
      </w:r>
      <w:r w:rsidR="008A5958" w:rsidRPr="00831536">
        <w:rPr>
          <w:rFonts w:ascii="Verdana" w:hAnsi="Verdana" w:cs="Arial"/>
          <w:sz w:val="20"/>
          <w:szCs w:val="20"/>
        </w:rPr>
        <w:t xml:space="preserve"> </w:t>
      </w:r>
    </w:p>
    <w:p w14:paraId="619A97F7" w14:textId="77777777" w:rsidR="00831536" w:rsidRDefault="00831536" w:rsidP="00831536">
      <w:pPr>
        <w:pStyle w:val="Prrafodelista"/>
        <w:spacing w:line="0" w:lineRule="atLeast"/>
        <w:ind w:left="567"/>
        <w:jc w:val="both"/>
        <w:rPr>
          <w:rFonts w:ascii="Verdana" w:hAnsi="Verdana" w:cs="Arial"/>
          <w:sz w:val="20"/>
          <w:szCs w:val="20"/>
        </w:rPr>
      </w:pPr>
    </w:p>
    <w:p w14:paraId="525147AC" w14:textId="55957446" w:rsidR="00831536" w:rsidRDefault="00831536" w:rsidP="00831536">
      <w:pPr>
        <w:pStyle w:val="Prrafodelista"/>
        <w:numPr>
          <w:ilvl w:val="0"/>
          <w:numId w:val="26"/>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831536">
        <w:rPr>
          <w:rFonts w:ascii="Verdana" w:hAnsi="Verdana" w:cs="Arial"/>
          <w:sz w:val="20"/>
          <w:szCs w:val="20"/>
        </w:rPr>
        <w:t>alor de los pasivos del fondo o patrimonio autónomo</w:t>
      </w:r>
      <w:r>
        <w:rPr>
          <w:rFonts w:ascii="Verdana" w:hAnsi="Verdana" w:cs="Arial"/>
          <w:sz w:val="20"/>
          <w:szCs w:val="20"/>
        </w:rPr>
        <w:t>.</w:t>
      </w:r>
      <w:r w:rsidR="008A5958" w:rsidRPr="00831536">
        <w:rPr>
          <w:rFonts w:ascii="Verdana" w:hAnsi="Verdana" w:cs="Arial"/>
          <w:sz w:val="20"/>
          <w:szCs w:val="20"/>
        </w:rPr>
        <w:t xml:space="preserve"> </w:t>
      </w:r>
    </w:p>
    <w:p w14:paraId="51F4B32C" w14:textId="77777777" w:rsidR="00831536" w:rsidRDefault="00831536" w:rsidP="00831536">
      <w:pPr>
        <w:pStyle w:val="Prrafodelista"/>
        <w:spacing w:line="0" w:lineRule="atLeast"/>
        <w:ind w:left="567"/>
        <w:jc w:val="both"/>
        <w:rPr>
          <w:rFonts w:ascii="Verdana" w:hAnsi="Verdana" w:cs="Arial"/>
          <w:sz w:val="20"/>
          <w:szCs w:val="20"/>
        </w:rPr>
      </w:pPr>
    </w:p>
    <w:p w14:paraId="64CE025B" w14:textId="77777777" w:rsidR="00831536" w:rsidRDefault="00831536" w:rsidP="00831536">
      <w:pPr>
        <w:pStyle w:val="Prrafodelista"/>
        <w:numPr>
          <w:ilvl w:val="0"/>
          <w:numId w:val="26"/>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831536">
        <w:rPr>
          <w:rFonts w:ascii="Verdana" w:hAnsi="Verdana" w:cs="Arial"/>
          <w:sz w:val="20"/>
          <w:szCs w:val="20"/>
        </w:rPr>
        <w:t>alor total del patrimonio del fondo o patrimonio autónomo</w:t>
      </w:r>
      <w:r>
        <w:rPr>
          <w:rFonts w:ascii="Verdana" w:hAnsi="Verdana" w:cs="Arial"/>
          <w:sz w:val="20"/>
          <w:szCs w:val="20"/>
        </w:rPr>
        <w:t>.</w:t>
      </w:r>
      <w:r w:rsidR="008A5958" w:rsidRPr="00831536">
        <w:rPr>
          <w:rFonts w:ascii="Verdana" w:hAnsi="Verdana" w:cs="Arial"/>
          <w:sz w:val="20"/>
          <w:szCs w:val="20"/>
        </w:rPr>
        <w:t xml:space="preserve"> </w:t>
      </w:r>
    </w:p>
    <w:p w14:paraId="4E3D5159" w14:textId="77777777" w:rsidR="00831536" w:rsidRPr="00831536" w:rsidRDefault="00831536" w:rsidP="00831536">
      <w:pPr>
        <w:pStyle w:val="Prrafodelista"/>
        <w:rPr>
          <w:rFonts w:ascii="Verdana" w:hAnsi="Verdana" w:cs="Arial"/>
          <w:sz w:val="20"/>
          <w:szCs w:val="20"/>
        </w:rPr>
      </w:pPr>
    </w:p>
    <w:p w14:paraId="26E8401B" w14:textId="338A899C" w:rsidR="0021350F" w:rsidRPr="00831536" w:rsidRDefault="00831536" w:rsidP="00831536">
      <w:pPr>
        <w:pStyle w:val="Prrafodelista"/>
        <w:numPr>
          <w:ilvl w:val="0"/>
          <w:numId w:val="26"/>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831536">
        <w:rPr>
          <w:rFonts w:ascii="Verdana" w:hAnsi="Verdana" w:cs="Arial"/>
          <w:sz w:val="20"/>
          <w:szCs w:val="20"/>
        </w:rPr>
        <w:t>alor máximo de apalancamiento financiero permitido al fondo o patrimonio autónomo.</w:t>
      </w:r>
    </w:p>
    <w:p w14:paraId="417AD260" w14:textId="77777777" w:rsidR="00831536" w:rsidRDefault="00831536" w:rsidP="00831536">
      <w:pPr>
        <w:pStyle w:val="Prrafodelista"/>
        <w:tabs>
          <w:tab w:val="left" w:pos="1701"/>
        </w:tabs>
        <w:spacing w:line="0" w:lineRule="atLeast"/>
        <w:jc w:val="both"/>
        <w:rPr>
          <w:rFonts w:ascii="Verdana" w:hAnsi="Verdana" w:cs="Arial"/>
          <w:b/>
          <w:bCs/>
          <w:sz w:val="20"/>
          <w:szCs w:val="20"/>
        </w:rPr>
      </w:pPr>
    </w:p>
    <w:p w14:paraId="34B070B0" w14:textId="6390B4F4" w:rsidR="0021350F" w:rsidRPr="00831536" w:rsidRDefault="0021350F" w:rsidP="00831536">
      <w:pPr>
        <w:pStyle w:val="Prrafodelista"/>
        <w:numPr>
          <w:ilvl w:val="0"/>
          <w:numId w:val="21"/>
        </w:numPr>
        <w:tabs>
          <w:tab w:val="left" w:pos="1701"/>
        </w:tabs>
        <w:spacing w:line="0" w:lineRule="atLeast"/>
        <w:ind w:left="284" w:hanging="284"/>
        <w:jc w:val="both"/>
        <w:rPr>
          <w:rFonts w:ascii="Verdana" w:hAnsi="Verdana" w:cs="Arial"/>
          <w:b/>
          <w:bCs/>
          <w:sz w:val="20"/>
          <w:szCs w:val="20"/>
        </w:rPr>
      </w:pPr>
      <w:r w:rsidRPr="00831536">
        <w:rPr>
          <w:rFonts w:ascii="Verdana" w:hAnsi="Verdana" w:cs="Arial"/>
          <w:b/>
          <w:bCs/>
          <w:sz w:val="20"/>
          <w:szCs w:val="20"/>
        </w:rPr>
        <w:t>Ponderación residual</w:t>
      </w:r>
    </w:p>
    <w:p w14:paraId="05DED5EF" w14:textId="3A70CFB1"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5</w:t>
      </w:r>
      <w:r w:rsidR="003F2544">
        <w:rPr>
          <w:rFonts w:ascii="Verdana" w:hAnsi="Verdana" w:cs="Arial"/>
          <w:bCs/>
          <w:sz w:val="20"/>
          <w:szCs w:val="20"/>
        </w:rPr>
        <w:t>4</w:t>
      </w:r>
      <w:r w:rsidRPr="00A2626A">
        <w:rPr>
          <w:rFonts w:ascii="Verdana" w:hAnsi="Verdana" w:cs="Arial"/>
          <w:bCs/>
          <w:sz w:val="20"/>
          <w:szCs w:val="20"/>
        </w:rPr>
        <w:t>.</w:t>
      </w:r>
    </w:p>
    <w:p w14:paraId="386B8DD8" w14:textId="26FB583E" w:rsidR="003F2544"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En los casos en que no se cumplan los criterios de información previstos para los métodos de ponderación directa, por mandato o apalancado se debe utilizar una ponderación de 1111% para el valor de la inversión en el fondo o patrimonio autónomo.</w:t>
      </w:r>
    </w:p>
    <w:p w14:paraId="57D6C36B" w14:textId="23AC4B31" w:rsidR="0021350F" w:rsidRPr="00923E21" w:rsidRDefault="0021350F" w:rsidP="003838DE">
      <w:pPr>
        <w:pStyle w:val="Titulo"/>
        <w:numPr>
          <w:ilvl w:val="0"/>
          <w:numId w:val="0"/>
        </w:numPr>
        <w:spacing w:line="0" w:lineRule="atLeast"/>
        <w:jc w:val="both"/>
        <w:rPr>
          <w:rFonts w:ascii="Verdana" w:hAnsi="Verdana" w:cs="Arial"/>
          <w:b/>
          <w:color w:val="000000"/>
          <w:sz w:val="20"/>
          <w:szCs w:val="20"/>
        </w:rPr>
      </w:pPr>
      <w:r w:rsidRPr="00923E21">
        <w:rPr>
          <w:rFonts w:ascii="Verdana" w:hAnsi="Verdana" w:cs="Arial"/>
          <w:b/>
          <w:bCs/>
          <w:color w:val="000000"/>
          <w:sz w:val="20"/>
          <w:szCs w:val="20"/>
        </w:rPr>
        <w:t xml:space="preserve">Ponderación de la exposición crediticia de los </w:t>
      </w:r>
      <w:r w:rsidRPr="00923E21">
        <w:rPr>
          <w:rFonts w:ascii="Verdana" w:hAnsi="Verdana" w:cs="Arial"/>
          <w:b/>
          <w:color w:val="000000"/>
          <w:sz w:val="20"/>
          <w:szCs w:val="20"/>
        </w:rPr>
        <w:t>instrumentos financieros derivados</w:t>
      </w:r>
    </w:p>
    <w:p w14:paraId="6513B8CF" w14:textId="77777777" w:rsidR="0021350F" w:rsidRPr="00923E21" w:rsidRDefault="0021350F" w:rsidP="0021350F">
      <w:pPr>
        <w:pStyle w:val="Titulo"/>
        <w:numPr>
          <w:ilvl w:val="0"/>
          <w:numId w:val="0"/>
        </w:numPr>
        <w:spacing w:line="0" w:lineRule="atLeast"/>
        <w:jc w:val="both"/>
        <w:rPr>
          <w:rFonts w:ascii="Verdana" w:hAnsi="Verdana" w:cs="Arial"/>
          <w:b/>
          <w:color w:val="000000"/>
          <w:sz w:val="20"/>
          <w:szCs w:val="20"/>
        </w:rPr>
      </w:pPr>
    </w:p>
    <w:p w14:paraId="186344FA" w14:textId="135BA3AC" w:rsidR="000F66EB" w:rsidRPr="00A2626A" w:rsidRDefault="000F66EB" w:rsidP="000F66E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5</w:t>
      </w:r>
      <w:r w:rsidR="003F2544">
        <w:rPr>
          <w:rFonts w:ascii="Verdana" w:hAnsi="Verdana" w:cs="Arial"/>
          <w:bCs/>
          <w:sz w:val="20"/>
          <w:szCs w:val="20"/>
        </w:rPr>
        <w:t>5</w:t>
      </w:r>
      <w:r w:rsidRPr="00A2626A">
        <w:rPr>
          <w:rFonts w:ascii="Verdana" w:hAnsi="Verdana" w:cs="Arial"/>
          <w:bCs/>
          <w:sz w:val="20"/>
          <w:szCs w:val="20"/>
        </w:rPr>
        <w:t>.</w:t>
      </w:r>
    </w:p>
    <w:p w14:paraId="65CA82FF" w14:textId="77777777" w:rsidR="00A91AD8" w:rsidRDefault="0021350F" w:rsidP="00A91AD8">
      <w:pPr>
        <w:pStyle w:val="Titulo"/>
        <w:numPr>
          <w:ilvl w:val="0"/>
          <w:numId w:val="0"/>
        </w:numPr>
        <w:jc w:val="both"/>
        <w:rPr>
          <w:rFonts w:ascii="Verdana" w:hAnsi="Verdana" w:cs="Arial"/>
          <w:color w:val="000000"/>
          <w:sz w:val="20"/>
          <w:szCs w:val="20"/>
        </w:rPr>
      </w:pPr>
      <w:r w:rsidRPr="00923E21">
        <w:rPr>
          <w:rFonts w:ascii="Verdana" w:hAnsi="Verdana" w:cs="Arial"/>
          <w:color w:val="000000"/>
          <w:sz w:val="20"/>
          <w:szCs w:val="20"/>
        </w:rPr>
        <w:t xml:space="preserve">En concordancia con el parágrafo 6 del artículo </w:t>
      </w:r>
      <w:r w:rsidRPr="00923E21">
        <w:rPr>
          <w:rFonts w:ascii="Verdana" w:hAnsi="Verdana" w:cs="Arial"/>
          <w:sz w:val="20"/>
          <w:szCs w:val="20"/>
        </w:rPr>
        <w:t xml:space="preserve">2.6.1.1.10 </w:t>
      </w:r>
      <w:r w:rsidRPr="00923E21">
        <w:rPr>
          <w:rFonts w:ascii="Verdana" w:hAnsi="Verdana" w:cs="Arial"/>
          <w:color w:val="000000"/>
          <w:sz w:val="20"/>
          <w:szCs w:val="20"/>
        </w:rPr>
        <w:t>del Decreto 2555 de 2010 para determinar el valor ponderado de los instrumentos financieros derivados, se debe multiplicar la exposición crediticia (EC) por el factor de ponderación que corresponda a cada contraparte. En este sentido, dichas operaciones afectarán los APNR de acuerdo con su EC y dependiendo de la ponderación de la contraparte de que se trate.</w:t>
      </w:r>
    </w:p>
    <w:p w14:paraId="00645533" w14:textId="77777777" w:rsidR="00A91AD8" w:rsidRDefault="00A91AD8" w:rsidP="00A91AD8">
      <w:pPr>
        <w:pStyle w:val="Titulo"/>
        <w:numPr>
          <w:ilvl w:val="0"/>
          <w:numId w:val="0"/>
        </w:numPr>
        <w:jc w:val="both"/>
        <w:rPr>
          <w:rFonts w:ascii="Verdana" w:hAnsi="Verdana" w:cs="Arial"/>
          <w:color w:val="000000"/>
          <w:sz w:val="20"/>
          <w:szCs w:val="20"/>
        </w:rPr>
      </w:pPr>
    </w:p>
    <w:p w14:paraId="16B65B7D" w14:textId="27FB018E" w:rsidR="00FB2E86" w:rsidRPr="00A91AD8" w:rsidRDefault="00FB2E86" w:rsidP="00A91AD8">
      <w:pPr>
        <w:pStyle w:val="Titulo"/>
        <w:numPr>
          <w:ilvl w:val="0"/>
          <w:numId w:val="0"/>
        </w:numPr>
        <w:jc w:val="both"/>
        <w:rPr>
          <w:rFonts w:ascii="Verdana" w:hAnsi="Verdana" w:cs="Arial"/>
          <w:b/>
          <w:color w:val="000000"/>
          <w:spacing w:val="20"/>
          <w:sz w:val="20"/>
          <w:szCs w:val="20"/>
        </w:rPr>
      </w:pPr>
      <w:r w:rsidRPr="00A2626A">
        <w:rPr>
          <w:rFonts w:ascii="Verdana" w:hAnsi="Verdana" w:cs="Arial"/>
          <w:bCs/>
          <w:sz w:val="20"/>
          <w:szCs w:val="20"/>
        </w:rPr>
        <w:t>2.4.3.</w:t>
      </w:r>
      <w:r>
        <w:rPr>
          <w:rFonts w:ascii="Verdana" w:hAnsi="Verdana" w:cs="Arial"/>
          <w:bCs/>
          <w:sz w:val="20"/>
          <w:szCs w:val="20"/>
        </w:rPr>
        <w:t>5</w:t>
      </w:r>
      <w:r w:rsidR="003F2544">
        <w:rPr>
          <w:rFonts w:ascii="Verdana" w:hAnsi="Verdana" w:cs="Arial"/>
          <w:bCs/>
          <w:sz w:val="20"/>
          <w:szCs w:val="20"/>
        </w:rPr>
        <w:t>6</w:t>
      </w:r>
      <w:r w:rsidRPr="00A2626A">
        <w:rPr>
          <w:rFonts w:ascii="Verdana" w:hAnsi="Verdana" w:cs="Arial"/>
          <w:bCs/>
          <w:sz w:val="20"/>
          <w:szCs w:val="20"/>
        </w:rPr>
        <w:t>.</w:t>
      </w:r>
    </w:p>
    <w:p w14:paraId="2A1449B9" w14:textId="7C49ECFB"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 xml:space="preserve">Las entidades </w:t>
      </w:r>
      <w:r w:rsidRPr="002C492D">
        <w:rPr>
          <w:rFonts w:ascii="Verdana" w:hAnsi="Verdana" w:cs="Arial"/>
          <w:color w:val="000000"/>
          <w:sz w:val="20"/>
          <w:szCs w:val="20"/>
        </w:rPr>
        <w:t xml:space="preserve">deben calcular la EC de los instrumentos financieros derivados conforme las instrucciones del anexo 3 del </w:t>
      </w:r>
      <w:r w:rsidR="002C492D" w:rsidRPr="002C492D">
        <w:rPr>
          <w:rFonts w:ascii="Verdana" w:hAnsi="Verdana" w:cs="Arial"/>
          <w:color w:val="000000"/>
          <w:sz w:val="20"/>
          <w:szCs w:val="20"/>
        </w:rPr>
        <w:t>capítulo 5 de la parte 3 de la CBRAPIF</w:t>
      </w:r>
      <w:r w:rsidRPr="002C492D">
        <w:rPr>
          <w:rFonts w:ascii="Verdana" w:hAnsi="Verdana" w:cs="Arial"/>
          <w:color w:val="000000"/>
          <w:sz w:val="20"/>
          <w:szCs w:val="20"/>
        </w:rPr>
        <w:t>, en</w:t>
      </w:r>
      <w:r w:rsidRPr="00923E21">
        <w:rPr>
          <w:rFonts w:ascii="Verdana" w:hAnsi="Verdana" w:cs="Arial"/>
          <w:color w:val="000000"/>
          <w:sz w:val="20"/>
          <w:szCs w:val="20"/>
        </w:rPr>
        <w:t xml:space="preserve"> concordancia con lo estipulado en el artículo 2.35.1.1.1 del Decreto 2555 de 2010. </w:t>
      </w:r>
    </w:p>
    <w:p w14:paraId="1F91BD82" w14:textId="77544EA2" w:rsidR="00FB2E86" w:rsidRPr="00A2626A" w:rsidRDefault="00FB2E86" w:rsidP="00FB2E8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5</w:t>
      </w:r>
      <w:r w:rsidR="003F2544">
        <w:rPr>
          <w:rFonts w:ascii="Verdana" w:hAnsi="Verdana" w:cs="Arial"/>
          <w:bCs/>
          <w:sz w:val="20"/>
          <w:szCs w:val="20"/>
        </w:rPr>
        <w:t>7</w:t>
      </w:r>
      <w:r w:rsidRPr="00A2626A">
        <w:rPr>
          <w:rFonts w:ascii="Verdana" w:hAnsi="Verdana" w:cs="Arial"/>
          <w:bCs/>
          <w:sz w:val="20"/>
          <w:szCs w:val="20"/>
        </w:rPr>
        <w:t>.</w:t>
      </w:r>
    </w:p>
    <w:p w14:paraId="5039092A" w14:textId="3154A363" w:rsidR="0021350F" w:rsidRPr="00A91AD8" w:rsidRDefault="0021350F" w:rsidP="0021350F">
      <w:pPr>
        <w:jc w:val="both"/>
        <w:rPr>
          <w:rFonts w:ascii="Verdana" w:hAnsi="Verdana" w:cs="Arial"/>
          <w:color w:val="000000"/>
          <w:sz w:val="20"/>
          <w:szCs w:val="20"/>
        </w:rPr>
      </w:pPr>
      <w:r w:rsidRPr="00923E21">
        <w:rPr>
          <w:rFonts w:ascii="Verdana" w:hAnsi="Verdana" w:cs="Arial"/>
          <w:color w:val="000000"/>
          <w:sz w:val="20"/>
          <w:szCs w:val="20"/>
        </w:rPr>
        <w:t>Para establecer la ponderación por riesgo las entidades deben tener en cuenta los siguientes pasos:</w:t>
      </w:r>
    </w:p>
    <w:p w14:paraId="37217856" w14:textId="7B7DFC7B" w:rsidR="0021350F" w:rsidRPr="008D2738" w:rsidRDefault="0021350F" w:rsidP="00F72C18">
      <w:pPr>
        <w:pStyle w:val="Prrafodelista"/>
        <w:numPr>
          <w:ilvl w:val="0"/>
          <w:numId w:val="11"/>
        </w:numPr>
        <w:spacing w:after="0" w:line="240" w:lineRule="auto"/>
        <w:ind w:left="567" w:hanging="567"/>
        <w:jc w:val="both"/>
        <w:rPr>
          <w:rFonts w:ascii="Verdana" w:hAnsi="Verdana" w:cs="Arial"/>
          <w:color w:val="000000"/>
          <w:sz w:val="20"/>
          <w:szCs w:val="20"/>
        </w:rPr>
      </w:pPr>
      <w:r w:rsidRPr="008D2738">
        <w:rPr>
          <w:rFonts w:ascii="Verdana" w:hAnsi="Verdana" w:cs="Arial"/>
          <w:color w:val="000000"/>
          <w:sz w:val="20"/>
          <w:szCs w:val="20"/>
        </w:rPr>
        <w:t xml:space="preserve">Cálculo de la EC: la EC de un instrumento financiero derivado se calculará según lo establecido en el </w:t>
      </w:r>
      <w:r w:rsidR="003F5174" w:rsidRPr="002C492D">
        <w:rPr>
          <w:rFonts w:ascii="Verdana" w:hAnsi="Verdana" w:cs="Arial"/>
          <w:color w:val="000000"/>
          <w:sz w:val="20"/>
          <w:szCs w:val="20"/>
        </w:rPr>
        <w:t>anexo 3 del capítulo 5 de la parte 3 de la CBRAPIF</w:t>
      </w:r>
      <w:r w:rsidR="003F5174">
        <w:rPr>
          <w:rFonts w:ascii="Verdana" w:hAnsi="Verdana" w:cs="Arial"/>
          <w:color w:val="000000"/>
          <w:sz w:val="20"/>
          <w:szCs w:val="20"/>
        </w:rPr>
        <w:t>.</w:t>
      </w:r>
    </w:p>
    <w:p w14:paraId="2BF274E0" w14:textId="77777777" w:rsidR="006D7963" w:rsidRPr="00923E21" w:rsidRDefault="006D7963" w:rsidP="006D7963">
      <w:pPr>
        <w:pStyle w:val="Prrafodelista"/>
        <w:spacing w:after="0" w:line="240" w:lineRule="auto"/>
        <w:ind w:left="360"/>
        <w:jc w:val="both"/>
        <w:rPr>
          <w:rFonts w:ascii="Verdana" w:hAnsi="Verdana" w:cs="Arial"/>
          <w:color w:val="000000"/>
          <w:sz w:val="20"/>
          <w:szCs w:val="20"/>
        </w:rPr>
      </w:pPr>
    </w:p>
    <w:p w14:paraId="484EE6BB" w14:textId="5451EA75" w:rsidR="0021350F" w:rsidRPr="00A91AD8" w:rsidRDefault="0021350F" w:rsidP="00A91AD8">
      <w:pPr>
        <w:pStyle w:val="Prrafodelista"/>
        <w:numPr>
          <w:ilvl w:val="0"/>
          <w:numId w:val="11"/>
        </w:numPr>
        <w:spacing w:after="0" w:line="240" w:lineRule="auto"/>
        <w:ind w:left="567" w:hanging="567"/>
        <w:jc w:val="both"/>
        <w:rPr>
          <w:rFonts w:ascii="Verdana" w:hAnsi="Verdana" w:cs="Arial"/>
          <w:b/>
          <w:color w:val="000000"/>
          <w:sz w:val="20"/>
          <w:szCs w:val="20"/>
          <w:u w:val="single"/>
        </w:rPr>
      </w:pPr>
      <w:r w:rsidRPr="008D2738">
        <w:rPr>
          <w:rFonts w:ascii="Verdana" w:hAnsi="Verdana" w:cs="Arial"/>
          <w:color w:val="000000"/>
          <w:sz w:val="20"/>
          <w:szCs w:val="20"/>
        </w:rPr>
        <w:t>Incorporación al cálculo de los APNR: una vez calculada la EC se deberá determinar su contribución a los APNR de la siguiente manera:</w:t>
      </w:r>
    </w:p>
    <w:p w14:paraId="3AF35EF4" w14:textId="77777777" w:rsidR="00A91AD8" w:rsidRPr="00A91AD8" w:rsidRDefault="00A91AD8" w:rsidP="00A91AD8">
      <w:pPr>
        <w:spacing w:after="0" w:line="240" w:lineRule="auto"/>
        <w:jc w:val="both"/>
        <w:rPr>
          <w:rFonts w:ascii="Verdana" w:hAnsi="Verdana" w:cs="Arial"/>
          <w:b/>
          <w:color w:val="000000"/>
          <w:sz w:val="20"/>
          <w:szCs w:val="20"/>
          <w:u w:val="single"/>
        </w:rPr>
      </w:pPr>
    </w:p>
    <w:p w14:paraId="15F65C9E" w14:textId="77777777" w:rsidR="0021350F" w:rsidRPr="00923E21" w:rsidRDefault="00000000" w:rsidP="0021350F">
      <w:pPr>
        <w:jc w:val="both"/>
        <w:rPr>
          <w:rFonts w:ascii="Verdana" w:hAnsi="Verdana" w:cs="Arial"/>
          <w:color w:val="000000"/>
          <w:sz w:val="20"/>
          <w:szCs w:val="20"/>
        </w:rPr>
      </w:pPr>
      <m:oMathPara>
        <m:oMath>
          <m:sSub>
            <m:sSubPr>
              <m:ctrlPr>
                <w:rPr>
                  <w:rFonts w:ascii="Cambria Math" w:hAnsi="Cambria Math" w:cs="Arial"/>
                  <w:color w:val="000000"/>
                  <w:sz w:val="20"/>
                  <w:szCs w:val="20"/>
                </w:rPr>
              </m:ctrlPr>
            </m:sSubPr>
            <m:e>
              <m:r>
                <w:rPr>
                  <w:rFonts w:ascii="Cambria Math" w:hAnsi="Cambria Math" w:cs="Arial"/>
                  <w:color w:val="000000"/>
                  <w:sz w:val="20"/>
                  <w:szCs w:val="20"/>
                </w:rPr>
                <m:t>APNR</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EC</m:t>
              </m:r>
            </m:e>
            <m:sub>
              <m:r>
                <w:rPr>
                  <w:rFonts w:ascii="Cambria Math" w:hAnsi="Cambria Math" w:cs="Arial"/>
                  <w:color w:val="000000"/>
                  <w:sz w:val="20"/>
                  <w:szCs w:val="20"/>
                </w:rPr>
                <m:t>j</m:t>
              </m:r>
            </m:sub>
          </m:sSub>
        </m:oMath>
      </m:oMathPara>
    </w:p>
    <w:p w14:paraId="498BA188" w14:textId="77777777" w:rsidR="00FB2E86" w:rsidRDefault="0021350F" w:rsidP="0021350F">
      <w:pPr>
        <w:spacing w:line="240" w:lineRule="atLeast"/>
        <w:jc w:val="both"/>
        <w:rPr>
          <w:rFonts w:ascii="Verdana" w:hAnsi="Verdana" w:cs="Arial"/>
          <w:color w:val="000000"/>
          <w:sz w:val="20"/>
          <w:szCs w:val="20"/>
        </w:rPr>
      </w:pPr>
      <w:r w:rsidRPr="00923E21">
        <w:rPr>
          <w:rFonts w:ascii="Verdana" w:hAnsi="Verdana" w:cs="Arial"/>
          <w:color w:val="000000"/>
          <w:sz w:val="20"/>
          <w:szCs w:val="20"/>
        </w:rPr>
        <w:t>Donde</w:t>
      </w:r>
      <w:r w:rsidR="00FB2E86">
        <w:rPr>
          <w:rFonts w:ascii="Verdana" w:hAnsi="Verdana" w:cs="Arial"/>
          <w:color w:val="000000"/>
          <w:sz w:val="20"/>
          <w:szCs w:val="20"/>
        </w:rPr>
        <w:t>:</w:t>
      </w:r>
    </w:p>
    <w:p w14:paraId="23193260" w14:textId="748E341B" w:rsidR="0021350F" w:rsidRPr="00923E21" w:rsidRDefault="00000000" w:rsidP="0021350F">
      <w:pPr>
        <w:spacing w:line="240" w:lineRule="atLeast"/>
        <w:jc w:val="both"/>
        <w:rPr>
          <w:rFonts w:ascii="Verdana" w:hAnsi="Verdana" w:cs="Arial"/>
          <w:color w:val="000000"/>
          <w:sz w:val="20"/>
          <w:szCs w:val="20"/>
        </w:rPr>
      </w:pPr>
      <m:oMath>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oMath>
      <w:r w:rsidR="00A91AD8">
        <w:rPr>
          <w:rFonts w:ascii="Verdana" w:eastAsiaTheme="minorEastAsia" w:hAnsi="Verdana" w:cs="Arial"/>
          <w:color w:val="000000"/>
          <w:sz w:val="20"/>
          <w:szCs w:val="20"/>
        </w:rPr>
        <w:t>:</w:t>
      </w:r>
      <w:r w:rsidR="0021350F" w:rsidRPr="00FB2E86">
        <w:rPr>
          <w:rFonts w:ascii="Verdana" w:hAnsi="Verdana" w:cs="Arial"/>
          <w:b/>
          <w:bCs/>
          <w:color w:val="000000"/>
          <w:sz w:val="20"/>
          <w:szCs w:val="20"/>
        </w:rPr>
        <w:t xml:space="preserve"> </w:t>
      </w:r>
      <w:r w:rsidR="0021350F" w:rsidRPr="00923E21">
        <w:rPr>
          <w:rFonts w:ascii="Verdana" w:hAnsi="Verdana" w:cs="Arial"/>
          <w:color w:val="000000"/>
          <w:sz w:val="20"/>
          <w:szCs w:val="20"/>
        </w:rPr>
        <w:t xml:space="preserve">corresponde al factor de ponderación asignado según el tipo de contraparte y calificación otorgada por las sociedades calificadoras autorizadas por la SFC, de acuerdo con lo dispuesto en el artículo </w:t>
      </w:r>
      <w:r w:rsidR="0021350F" w:rsidRPr="00923E21">
        <w:rPr>
          <w:rFonts w:ascii="Verdana" w:hAnsi="Verdana" w:cs="Arial"/>
          <w:sz w:val="20"/>
          <w:szCs w:val="20"/>
        </w:rPr>
        <w:t xml:space="preserve">2.6.1.1.10 </w:t>
      </w:r>
      <w:r w:rsidR="0021350F" w:rsidRPr="00923E21">
        <w:rPr>
          <w:rFonts w:ascii="Verdana" w:hAnsi="Verdana" w:cs="Arial"/>
          <w:color w:val="000000"/>
          <w:sz w:val="20"/>
          <w:szCs w:val="20"/>
        </w:rPr>
        <w:t>del Decreto 2555 de 2010, según corresponda.</w:t>
      </w:r>
    </w:p>
    <w:p w14:paraId="728DEFD8" w14:textId="2D6BA5E1" w:rsidR="0021350F" w:rsidRPr="00923E21" w:rsidRDefault="0021350F" w:rsidP="00A91AD8">
      <w:pPr>
        <w:pStyle w:val="Titulo"/>
        <w:numPr>
          <w:ilvl w:val="0"/>
          <w:numId w:val="0"/>
        </w:numPr>
        <w:jc w:val="both"/>
        <w:rPr>
          <w:rFonts w:ascii="Verdana" w:hAnsi="Verdana" w:cs="Arial"/>
          <w:b/>
          <w:color w:val="000000"/>
          <w:sz w:val="20"/>
          <w:szCs w:val="20"/>
        </w:rPr>
      </w:pPr>
      <w:r w:rsidRPr="00923E21">
        <w:rPr>
          <w:rFonts w:ascii="Verdana" w:hAnsi="Verdana" w:cs="Arial"/>
          <w:b/>
          <w:color w:val="000000"/>
          <w:sz w:val="20"/>
          <w:szCs w:val="20"/>
        </w:rPr>
        <w:t>Ponderación por riesgo de los productos estructurados</w:t>
      </w:r>
    </w:p>
    <w:p w14:paraId="19C6CB74" w14:textId="77777777" w:rsidR="00A91AD8" w:rsidRDefault="00A91AD8" w:rsidP="00FB2E86">
      <w:pPr>
        <w:tabs>
          <w:tab w:val="left" w:pos="540"/>
        </w:tabs>
        <w:spacing w:after="0" w:line="240" w:lineRule="auto"/>
        <w:jc w:val="both"/>
        <w:rPr>
          <w:rFonts w:ascii="Verdana" w:hAnsi="Verdana" w:cs="Arial"/>
          <w:sz w:val="20"/>
          <w:szCs w:val="20"/>
          <w:lang w:val="es-ES"/>
        </w:rPr>
      </w:pPr>
    </w:p>
    <w:p w14:paraId="62C6367E" w14:textId="1F36077E" w:rsidR="00FB2E86" w:rsidRPr="00A2626A" w:rsidRDefault="00FB2E86" w:rsidP="00FB2E8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5</w:t>
      </w:r>
      <w:r w:rsidR="003F2544">
        <w:rPr>
          <w:rFonts w:ascii="Verdana" w:hAnsi="Verdana" w:cs="Arial"/>
          <w:bCs/>
          <w:sz w:val="20"/>
          <w:szCs w:val="20"/>
        </w:rPr>
        <w:t>8</w:t>
      </w:r>
      <w:r w:rsidRPr="00A2626A">
        <w:rPr>
          <w:rFonts w:ascii="Verdana" w:hAnsi="Verdana" w:cs="Arial"/>
          <w:bCs/>
          <w:sz w:val="20"/>
          <w:szCs w:val="20"/>
        </w:rPr>
        <w:t>.</w:t>
      </w:r>
    </w:p>
    <w:p w14:paraId="27047921" w14:textId="5283A1C0"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Los productos estructurados deben ponderar de la siguiente forma:</w:t>
      </w:r>
    </w:p>
    <w:p w14:paraId="71A7B822" w14:textId="0D5578C2" w:rsidR="0021350F" w:rsidRPr="001726DF" w:rsidRDefault="0021350F" w:rsidP="00F72C18">
      <w:pPr>
        <w:pStyle w:val="Prrafodelista"/>
        <w:numPr>
          <w:ilvl w:val="0"/>
          <w:numId w:val="12"/>
        </w:numPr>
        <w:spacing w:after="0" w:line="240" w:lineRule="auto"/>
        <w:ind w:left="567" w:hanging="567"/>
        <w:jc w:val="both"/>
        <w:rPr>
          <w:rFonts w:ascii="Verdana" w:hAnsi="Verdana" w:cs="Arial"/>
          <w:color w:val="000000"/>
          <w:sz w:val="20"/>
          <w:szCs w:val="20"/>
        </w:rPr>
      </w:pPr>
      <w:r w:rsidRPr="001726DF">
        <w:rPr>
          <w:rFonts w:ascii="Verdana" w:hAnsi="Verdana" w:cs="Arial"/>
          <w:color w:val="000000"/>
          <w:sz w:val="20"/>
          <w:szCs w:val="20"/>
        </w:rPr>
        <w:t xml:space="preserve">De conformidad con el parágrafo 2 del artículo </w:t>
      </w:r>
      <w:r w:rsidRPr="001726DF">
        <w:rPr>
          <w:rFonts w:ascii="Verdana" w:hAnsi="Verdana" w:cs="Arial"/>
          <w:sz w:val="20"/>
          <w:szCs w:val="20"/>
        </w:rPr>
        <w:t xml:space="preserve">2.6.1.1.10 </w:t>
      </w:r>
      <w:r w:rsidRPr="001726DF">
        <w:rPr>
          <w:rFonts w:ascii="Verdana" w:hAnsi="Verdana" w:cs="Arial"/>
          <w:color w:val="000000"/>
          <w:sz w:val="20"/>
          <w:szCs w:val="20"/>
        </w:rPr>
        <w:t>del Decreto 2555 de 2010, cuando se realicen inversiones en productos estructurados cuyos componentes provengan de distintas contrapartes y el vendedor no sea responsable de su pago, dicho producto estructurado debe computar considerando la suma de los siguientes factores:</w:t>
      </w:r>
    </w:p>
    <w:p w14:paraId="4A4FE5B0" w14:textId="77777777" w:rsidR="0021350F" w:rsidRPr="00923E21" w:rsidRDefault="0021350F" w:rsidP="0021350F">
      <w:pPr>
        <w:pStyle w:val="Prrafodelista"/>
        <w:ind w:left="426"/>
        <w:jc w:val="both"/>
        <w:rPr>
          <w:rFonts w:ascii="Verdana" w:hAnsi="Verdana" w:cs="Arial"/>
          <w:color w:val="000000"/>
          <w:sz w:val="20"/>
          <w:szCs w:val="20"/>
        </w:rPr>
      </w:pPr>
    </w:p>
    <w:p w14:paraId="762B7C28" w14:textId="77CFF555" w:rsidR="0021350F" w:rsidRPr="001726DF" w:rsidRDefault="0021350F" w:rsidP="00F72C18">
      <w:pPr>
        <w:pStyle w:val="Prrafodelista"/>
        <w:numPr>
          <w:ilvl w:val="0"/>
          <w:numId w:val="13"/>
        </w:numPr>
        <w:spacing w:after="0" w:line="240" w:lineRule="auto"/>
        <w:ind w:left="1134" w:hanging="567"/>
        <w:jc w:val="both"/>
        <w:rPr>
          <w:rFonts w:ascii="Verdana" w:hAnsi="Verdana" w:cs="Arial"/>
          <w:color w:val="000000"/>
          <w:sz w:val="20"/>
          <w:szCs w:val="20"/>
        </w:rPr>
      </w:pPr>
      <w:r w:rsidRPr="001726DF">
        <w:rPr>
          <w:rFonts w:ascii="Verdana" w:hAnsi="Verdana" w:cs="Arial"/>
          <w:color w:val="000000"/>
          <w:sz w:val="20"/>
          <w:szCs w:val="20"/>
        </w:rPr>
        <w:t xml:space="preserve">La multiplicación del precio justo de intercambio del componente no derivado por el porcentaje de ponderación que aplique al respectivo emisor de conformidad con lo previsto en el artículo </w:t>
      </w:r>
      <w:r w:rsidRPr="001726DF">
        <w:rPr>
          <w:rFonts w:ascii="Verdana" w:hAnsi="Verdana" w:cs="Arial"/>
          <w:sz w:val="20"/>
          <w:szCs w:val="20"/>
        </w:rPr>
        <w:t xml:space="preserve">2.6.1.1.10 </w:t>
      </w:r>
      <w:r w:rsidRPr="001726DF">
        <w:rPr>
          <w:rFonts w:ascii="Verdana" w:hAnsi="Verdana" w:cs="Arial"/>
          <w:color w:val="000000"/>
          <w:sz w:val="20"/>
          <w:szCs w:val="20"/>
        </w:rPr>
        <w:t xml:space="preserve">del Decreto 2555 de 2010. </w:t>
      </w:r>
    </w:p>
    <w:p w14:paraId="251E5570" w14:textId="77777777" w:rsidR="00D458E1" w:rsidRPr="00923E21" w:rsidRDefault="00D458E1" w:rsidP="00D458E1">
      <w:pPr>
        <w:pStyle w:val="Prrafodelista"/>
        <w:spacing w:after="0" w:line="240" w:lineRule="auto"/>
        <w:ind w:left="2268"/>
        <w:jc w:val="both"/>
        <w:rPr>
          <w:rFonts w:ascii="Verdana" w:hAnsi="Verdana" w:cs="Arial"/>
          <w:color w:val="000000"/>
          <w:sz w:val="20"/>
          <w:szCs w:val="20"/>
        </w:rPr>
      </w:pPr>
    </w:p>
    <w:p w14:paraId="33AC2902" w14:textId="6F12C985" w:rsidR="00D458E1" w:rsidRPr="001726DF" w:rsidRDefault="0021350F" w:rsidP="00F72C18">
      <w:pPr>
        <w:pStyle w:val="Prrafodelista"/>
        <w:numPr>
          <w:ilvl w:val="0"/>
          <w:numId w:val="14"/>
        </w:numPr>
        <w:spacing w:after="0" w:line="240" w:lineRule="auto"/>
        <w:ind w:left="1134" w:hanging="567"/>
        <w:jc w:val="both"/>
        <w:rPr>
          <w:rFonts w:ascii="Verdana" w:hAnsi="Verdana" w:cs="Arial"/>
          <w:color w:val="000000"/>
          <w:sz w:val="20"/>
          <w:szCs w:val="20"/>
        </w:rPr>
      </w:pPr>
      <w:r w:rsidRPr="001726DF">
        <w:rPr>
          <w:rFonts w:ascii="Verdana" w:hAnsi="Verdana" w:cs="Arial"/>
          <w:color w:val="000000"/>
          <w:sz w:val="20"/>
          <w:szCs w:val="20"/>
        </w:rPr>
        <w:t xml:space="preserve">La multiplicación del costo de reposición del componente derivado por el porcentaje de ponderación que aplique a la respectiva contraparte de conformidad con lo previsto en el artículo </w:t>
      </w:r>
      <w:r w:rsidRPr="001726DF">
        <w:rPr>
          <w:rFonts w:ascii="Verdana" w:hAnsi="Verdana" w:cs="Arial"/>
          <w:sz w:val="20"/>
          <w:szCs w:val="20"/>
        </w:rPr>
        <w:t xml:space="preserve">2.6.1.1.10 </w:t>
      </w:r>
      <w:r w:rsidRPr="001726DF">
        <w:rPr>
          <w:rFonts w:ascii="Verdana" w:hAnsi="Verdana" w:cs="Arial"/>
          <w:color w:val="000000"/>
          <w:sz w:val="20"/>
          <w:szCs w:val="20"/>
        </w:rPr>
        <w:t>del Decreto 2555 de 2010.</w:t>
      </w:r>
    </w:p>
    <w:p w14:paraId="7D4707F5" w14:textId="5FAE1017" w:rsidR="0021350F" w:rsidRPr="00923E21" w:rsidRDefault="0021350F" w:rsidP="00D458E1">
      <w:pPr>
        <w:pStyle w:val="Prrafodelista"/>
        <w:spacing w:after="0" w:line="240" w:lineRule="auto"/>
        <w:ind w:left="2268"/>
        <w:jc w:val="both"/>
        <w:rPr>
          <w:rFonts w:ascii="Verdana" w:hAnsi="Verdana" w:cs="Arial"/>
          <w:color w:val="000000"/>
          <w:sz w:val="20"/>
          <w:szCs w:val="20"/>
        </w:rPr>
      </w:pPr>
      <w:r w:rsidRPr="00923E21">
        <w:rPr>
          <w:rFonts w:ascii="Verdana" w:hAnsi="Verdana" w:cs="Arial"/>
          <w:color w:val="000000"/>
          <w:sz w:val="20"/>
          <w:szCs w:val="20"/>
        </w:rPr>
        <w:t xml:space="preserve"> </w:t>
      </w:r>
    </w:p>
    <w:p w14:paraId="290944E8" w14:textId="135F8E1B" w:rsidR="0021350F" w:rsidRPr="001726DF" w:rsidRDefault="0021350F" w:rsidP="00F72C18">
      <w:pPr>
        <w:pStyle w:val="Prrafodelista"/>
        <w:numPr>
          <w:ilvl w:val="0"/>
          <w:numId w:val="12"/>
        </w:numPr>
        <w:spacing w:after="0" w:line="240" w:lineRule="auto"/>
        <w:ind w:left="567" w:hanging="567"/>
        <w:jc w:val="both"/>
        <w:rPr>
          <w:rFonts w:ascii="Verdana" w:hAnsi="Verdana" w:cs="Arial"/>
          <w:color w:val="000000"/>
          <w:sz w:val="20"/>
          <w:szCs w:val="20"/>
        </w:rPr>
      </w:pPr>
      <w:r w:rsidRPr="001726DF">
        <w:rPr>
          <w:rFonts w:ascii="Verdana" w:hAnsi="Verdana" w:cs="Arial"/>
          <w:color w:val="000000"/>
          <w:sz w:val="20"/>
          <w:szCs w:val="20"/>
        </w:rPr>
        <w:t>Los demás productos estructurados deben ponderar de conformidad con las instrucciones del numeral 6 del artículo 2.35.1.1.1 del Decreto 2555 de 2010.</w:t>
      </w:r>
    </w:p>
    <w:p w14:paraId="7D177A7E" w14:textId="77777777" w:rsidR="00A91AD8" w:rsidRDefault="00A91AD8" w:rsidP="00987B4B">
      <w:pPr>
        <w:pStyle w:val="Titulo"/>
        <w:numPr>
          <w:ilvl w:val="0"/>
          <w:numId w:val="0"/>
        </w:numPr>
        <w:jc w:val="both"/>
        <w:rPr>
          <w:rFonts w:ascii="Verdana" w:hAnsi="Verdana" w:cs="Arial"/>
          <w:b/>
          <w:color w:val="000000"/>
          <w:sz w:val="20"/>
          <w:szCs w:val="20"/>
        </w:rPr>
      </w:pPr>
    </w:p>
    <w:p w14:paraId="546F6D6C" w14:textId="6A87F6E4" w:rsidR="0021350F" w:rsidRPr="00923E21" w:rsidRDefault="0021350F" w:rsidP="00987B4B">
      <w:pPr>
        <w:pStyle w:val="Titulo"/>
        <w:numPr>
          <w:ilvl w:val="0"/>
          <w:numId w:val="0"/>
        </w:numPr>
        <w:jc w:val="both"/>
        <w:rPr>
          <w:rFonts w:ascii="Verdana" w:hAnsi="Verdana" w:cs="Arial"/>
          <w:b/>
          <w:color w:val="000000"/>
          <w:sz w:val="20"/>
          <w:szCs w:val="20"/>
        </w:rPr>
      </w:pPr>
      <w:r w:rsidRPr="00923E21">
        <w:rPr>
          <w:rFonts w:ascii="Verdana" w:hAnsi="Verdana" w:cs="Arial"/>
          <w:b/>
          <w:color w:val="000000"/>
          <w:sz w:val="20"/>
          <w:szCs w:val="20"/>
        </w:rPr>
        <w:t>Ponderación de las operaciones de reporto o repo, simultáneas y transferencia temporal de valores</w:t>
      </w:r>
    </w:p>
    <w:p w14:paraId="17CA30A6" w14:textId="77777777" w:rsidR="00A91AD8" w:rsidRDefault="00A91AD8" w:rsidP="00FB2E86">
      <w:pPr>
        <w:tabs>
          <w:tab w:val="left" w:pos="540"/>
        </w:tabs>
        <w:spacing w:after="0" w:line="240" w:lineRule="auto"/>
        <w:jc w:val="both"/>
        <w:rPr>
          <w:rFonts w:ascii="Verdana" w:hAnsi="Verdana" w:cs="Arial"/>
          <w:color w:val="000000"/>
          <w:sz w:val="20"/>
          <w:szCs w:val="20"/>
        </w:rPr>
      </w:pPr>
    </w:p>
    <w:p w14:paraId="217A5EF1" w14:textId="4623E7D0" w:rsidR="00FB2E86" w:rsidRPr="00A2626A" w:rsidRDefault="00FB2E86" w:rsidP="00FB2E8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5</w:t>
      </w:r>
      <w:r w:rsidR="003F2544">
        <w:rPr>
          <w:rFonts w:ascii="Verdana" w:hAnsi="Verdana" w:cs="Arial"/>
          <w:bCs/>
          <w:sz w:val="20"/>
          <w:szCs w:val="20"/>
        </w:rPr>
        <w:t>9</w:t>
      </w:r>
      <w:r w:rsidRPr="00A2626A">
        <w:rPr>
          <w:rFonts w:ascii="Verdana" w:hAnsi="Verdana" w:cs="Arial"/>
          <w:bCs/>
          <w:sz w:val="20"/>
          <w:szCs w:val="20"/>
        </w:rPr>
        <w:t>.</w:t>
      </w:r>
    </w:p>
    <w:p w14:paraId="51956C12" w14:textId="388D41DF"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En las operaciones de reporto o repo, simultáneas y de transferencia temporal de valores, se debe multiplicar la exposición neta de cada operación por el factor de ponderación que corresponda a cada contraparte, así:</w:t>
      </w:r>
    </w:p>
    <w:p w14:paraId="6C5FD7E3" w14:textId="2C015CA8" w:rsidR="0021350F" w:rsidRPr="00BF70B6" w:rsidRDefault="0021350F" w:rsidP="00F72C18">
      <w:pPr>
        <w:pStyle w:val="Prrafodelista"/>
        <w:numPr>
          <w:ilvl w:val="0"/>
          <w:numId w:val="15"/>
        </w:numPr>
        <w:tabs>
          <w:tab w:val="left" w:pos="1701"/>
        </w:tabs>
        <w:snapToGrid w:val="0"/>
        <w:spacing w:after="0" w:line="240" w:lineRule="auto"/>
        <w:ind w:left="567" w:hanging="578"/>
        <w:jc w:val="both"/>
        <w:rPr>
          <w:rFonts w:ascii="Verdana" w:hAnsi="Verdana" w:cs="Arial"/>
          <w:color w:val="000000"/>
          <w:sz w:val="20"/>
          <w:szCs w:val="20"/>
        </w:rPr>
      </w:pPr>
      <w:r w:rsidRPr="00BF70B6">
        <w:rPr>
          <w:rFonts w:ascii="Verdana" w:hAnsi="Verdana" w:cs="Arial"/>
          <w:color w:val="000000"/>
          <w:sz w:val="20"/>
          <w:szCs w:val="20"/>
        </w:rPr>
        <w:t>Exposición Neta (EN): en una operación de reporto o repo, simultánea o transferencia temporal de valores se entiende como EN el monto que resulte de restar la posición deudora de la posición acreedora que ostenta la entidad en la respectiva operación realizada, siempre que dicho monto sea positivo. Para el cálculo de dichas posiciones se debe tener en cuenta el precio justo de intercambio (valor razonable) de los valores cuya propiedad se transfiera en desarrollo de la operación, la suma de dinero que sea entregada en la misma, así como los intereses o rendimientos causados asociados.</w:t>
      </w:r>
    </w:p>
    <w:p w14:paraId="2EB3F1ED" w14:textId="77777777" w:rsidR="000A6CB2" w:rsidRPr="00923E21" w:rsidRDefault="000A6CB2" w:rsidP="000A6CB2">
      <w:pPr>
        <w:pStyle w:val="Prrafodelista"/>
        <w:tabs>
          <w:tab w:val="left" w:pos="1701"/>
        </w:tabs>
        <w:snapToGrid w:val="0"/>
        <w:spacing w:after="0" w:line="240" w:lineRule="auto"/>
        <w:ind w:left="1701"/>
        <w:jc w:val="both"/>
        <w:rPr>
          <w:rFonts w:ascii="Verdana" w:hAnsi="Verdana" w:cs="Arial"/>
          <w:color w:val="000000"/>
          <w:sz w:val="20"/>
          <w:szCs w:val="20"/>
        </w:rPr>
      </w:pPr>
    </w:p>
    <w:p w14:paraId="34471D7A" w14:textId="0ED865AA" w:rsidR="0021350F" w:rsidRDefault="0021350F" w:rsidP="0021350F">
      <w:pPr>
        <w:pStyle w:val="Prrafodelista"/>
        <w:numPr>
          <w:ilvl w:val="0"/>
          <w:numId w:val="15"/>
        </w:numPr>
        <w:tabs>
          <w:tab w:val="left" w:pos="1701"/>
        </w:tabs>
        <w:snapToGrid w:val="0"/>
        <w:spacing w:after="0" w:line="240" w:lineRule="auto"/>
        <w:ind w:left="567" w:hanging="567"/>
        <w:jc w:val="both"/>
        <w:rPr>
          <w:rFonts w:ascii="Verdana" w:hAnsi="Verdana" w:cs="Arial"/>
          <w:color w:val="000000"/>
          <w:sz w:val="20"/>
          <w:szCs w:val="20"/>
        </w:rPr>
      </w:pPr>
      <w:r w:rsidRPr="00BF70B6">
        <w:rPr>
          <w:rFonts w:ascii="Verdana" w:hAnsi="Verdana" w:cs="Arial"/>
          <w:color w:val="000000"/>
          <w:sz w:val="20"/>
          <w:szCs w:val="20"/>
        </w:rPr>
        <w:t>Incorporación al cálculo de los APNR: una vez determinada la EN de cada operación, se debe establecer su contribución a los APNR. De esta manera, la contribución de una operación del mercado monetario a los APNR será igual a:</w:t>
      </w:r>
    </w:p>
    <w:p w14:paraId="6B53705A" w14:textId="77777777" w:rsidR="00A91AD8" w:rsidRPr="00A91AD8" w:rsidRDefault="00A91AD8" w:rsidP="00A91AD8">
      <w:pPr>
        <w:tabs>
          <w:tab w:val="left" w:pos="1701"/>
        </w:tabs>
        <w:snapToGrid w:val="0"/>
        <w:spacing w:after="0" w:line="240" w:lineRule="auto"/>
        <w:jc w:val="both"/>
        <w:rPr>
          <w:rFonts w:ascii="Verdana" w:hAnsi="Verdana" w:cs="Arial"/>
          <w:color w:val="000000"/>
          <w:sz w:val="20"/>
          <w:szCs w:val="20"/>
        </w:rPr>
      </w:pPr>
    </w:p>
    <w:p w14:paraId="2742A757" w14:textId="77777777" w:rsidR="0021350F" w:rsidRPr="00923E21" w:rsidRDefault="00000000" w:rsidP="0021350F">
      <w:pPr>
        <w:jc w:val="both"/>
        <w:rPr>
          <w:rFonts w:ascii="Verdana" w:hAnsi="Verdana" w:cs="Arial"/>
          <w:color w:val="000000"/>
          <w:sz w:val="20"/>
          <w:szCs w:val="20"/>
        </w:rPr>
      </w:pPr>
      <m:oMathPara>
        <m:oMath>
          <m:sSub>
            <m:sSubPr>
              <m:ctrlPr>
                <w:rPr>
                  <w:rFonts w:ascii="Cambria Math" w:hAnsi="Cambria Math" w:cs="Arial"/>
                  <w:color w:val="000000"/>
                  <w:sz w:val="20"/>
                  <w:szCs w:val="20"/>
                </w:rPr>
              </m:ctrlPr>
            </m:sSubPr>
            <m:e>
              <m:r>
                <w:rPr>
                  <w:rFonts w:ascii="Cambria Math" w:hAnsi="Cambria Math" w:cs="Arial"/>
                  <w:color w:val="000000"/>
                  <w:sz w:val="20"/>
                  <w:szCs w:val="20"/>
                </w:rPr>
                <m:t>APNR</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EN</m:t>
              </m:r>
            </m:e>
            <m:sub>
              <m:r>
                <w:rPr>
                  <w:rFonts w:ascii="Cambria Math" w:hAnsi="Cambria Math" w:cs="Arial"/>
                  <w:color w:val="000000"/>
                  <w:sz w:val="20"/>
                  <w:szCs w:val="20"/>
                </w:rPr>
                <m:t>j</m:t>
              </m:r>
            </m:sub>
          </m:sSub>
        </m:oMath>
      </m:oMathPara>
    </w:p>
    <w:p w14:paraId="252F08B0" w14:textId="77777777" w:rsidR="00776992" w:rsidRDefault="0021350F" w:rsidP="00A91AD8">
      <w:pPr>
        <w:ind w:left="567"/>
        <w:jc w:val="both"/>
        <w:rPr>
          <w:rFonts w:ascii="Verdana" w:hAnsi="Verdana" w:cs="Arial"/>
          <w:color w:val="000000"/>
          <w:sz w:val="20"/>
          <w:szCs w:val="20"/>
        </w:rPr>
      </w:pPr>
      <w:r w:rsidRPr="00923E21">
        <w:rPr>
          <w:rFonts w:ascii="Verdana" w:hAnsi="Verdana" w:cs="Arial"/>
          <w:color w:val="000000"/>
          <w:sz w:val="20"/>
          <w:szCs w:val="20"/>
        </w:rPr>
        <w:t>Donde</w:t>
      </w:r>
      <w:r w:rsidR="00776992">
        <w:rPr>
          <w:rFonts w:ascii="Verdana" w:hAnsi="Verdana" w:cs="Arial"/>
          <w:color w:val="000000"/>
          <w:sz w:val="20"/>
          <w:szCs w:val="20"/>
        </w:rPr>
        <w:t>:</w:t>
      </w:r>
    </w:p>
    <w:p w14:paraId="7CC7BE2F" w14:textId="77777777" w:rsidR="00A91AD8" w:rsidRDefault="00000000" w:rsidP="00A91AD8">
      <w:pPr>
        <w:ind w:left="567"/>
        <w:jc w:val="both"/>
        <w:rPr>
          <w:rFonts w:ascii="Verdana" w:hAnsi="Verdana" w:cs="Arial"/>
          <w:color w:val="000000"/>
          <w:sz w:val="20"/>
          <w:szCs w:val="20"/>
        </w:rPr>
      </w:pPr>
      <m:oMath>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oMath>
      <w:r w:rsidR="00A91AD8">
        <w:rPr>
          <w:rFonts w:ascii="Verdana" w:eastAsiaTheme="minorEastAsia" w:hAnsi="Verdana" w:cs="Arial"/>
          <w:color w:val="000000"/>
          <w:sz w:val="20"/>
          <w:szCs w:val="20"/>
        </w:rPr>
        <w:t>:</w:t>
      </w:r>
      <w:r w:rsidR="0021350F" w:rsidRPr="00923E21">
        <w:rPr>
          <w:rFonts w:ascii="Verdana" w:hAnsi="Verdana" w:cs="Arial"/>
          <w:color w:val="000000"/>
          <w:sz w:val="20"/>
          <w:szCs w:val="20"/>
        </w:rPr>
        <w:t xml:space="preserve"> corresponde al porcentaje de ponderación asignado según el tipo de contraparte y la calificación otorgada por las sociedades calificadoras autorizadas por la SFC, según corresponda.</w:t>
      </w:r>
    </w:p>
    <w:p w14:paraId="1B2956AE" w14:textId="77777777" w:rsidR="00A91AD8" w:rsidRDefault="00A91AD8" w:rsidP="00A91AD8">
      <w:pPr>
        <w:spacing w:after="0"/>
        <w:jc w:val="both"/>
        <w:rPr>
          <w:rFonts w:ascii="Verdana" w:hAnsi="Verdana" w:cs="Arial"/>
          <w:bCs/>
          <w:sz w:val="20"/>
          <w:szCs w:val="20"/>
        </w:rPr>
      </w:pPr>
    </w:p>
    <w:p w14:paraId="2CDE85C7" w14:textId="5E8658C8" w:rsidR="00A91AD8" w:rsidRDefault="00FB2E86" w:rsidP="00A91AD8">
      <w:pPr>
        <w:spacing w:after="0"/>
        <w:jc w:val="both"/>
        <w:rPr>
          <w:rFonts w:ascii="Verdana" w:hAnsi="Verdana" w:cs="Arial"/>
          <w:bCs/>
          <w:sz w:val="20"/>
          <w:szCs w:val="20"/>
        </w:rPr>
      </w:pPr>
      <w:r w:rsidRPr="00A2626A">
        <w:rPr>
          <w:rFonts w:ascii="Verdana" w:hAnsi="Verdana" w:cs="Arial"/>
          <w:bCs/>
          <w:sz w:val="20"/>
          <w:szCs w:val="20"/>
        </w:rPr>
        <w:t>2.4.3.</w:t>
      </w:r>
      <w:r w:rsidR="003F2544">
        <w:rPr>
          <w:rFonts w:ascii="Verdana" w:hAnsi="Verdana" w:cs="Arial"/>
          <w:bCs/>
          <w:sz w:val="20"/>
          <w:szCs w:val="20"/>
        </w:rPr>
        <w:t>60</w:t>
      </w:r>
      <w:r w:rsidR="00A91AD8">
        <w:rPr>
          <w:rFonts w:ascii="Verdana" w:hAnsi="Verdana" w:cs="Arial"/>
          <w:bCs/>
          <w:sz w:val="20"/>
          <w:szCs w:val="20"/>
        </w:rPr>
        <w:t>.</w:t>
      </w:r>
    </w:p>
    <w:p w14:paraId="0209BC19" w14:textId="77777777" w:rsidR="001D35AD" w:rsidRDefault="0021350F" w:rsidP="001D35AD">
      <w:pPr>
        <w:spacing w:after="0"/>
        <w:jc w:val="both"/>
        <w:rPr>
          <w:rFonts w:ascii="Verdana" w:hAnsi="Verdana" w:cs="Arial"/>
          <w:color w:val="000000" w:themeColor="text1"/>
          <w:sz w:val="20"/>
          <w:szCs w:val="20"/>
        </w:rPr>
      </w:pPr>
      <w:r w:rsidRPr="0050A195">
        <w:rPr>
          <w:rFonts w:ascii="Verdana" w:hAnsi="Verdana" w:cs="Arial"/>
          <w:color w:val="000000" w:themeColor="text1"/>
          <w:sz w:val="20"/>
          <w:szCs w:val="20"/>
        </w:rPr>
        <w:t xml:space="preserve">Los valores transferidos en desarrollo de las operaciones repo, simultáneas o transferencia temporal de valores deberán ser tenidos en cuenta por el enajenante, originador o receptor, siempre que los mismos permanezcan en su balance. Los valores </w:t>
      </w:r>
      <w:r w:rsidRPr="0050A195">
        <w:rPr>
          <w:rFonts w:ascii="Verdana" w:hAnsi="Verdana" w:cs="Arial"/>
          <w:color w:val="000000" w:themeColor="text1"/>
          <w:sz w:val="20"/>
          <w:szCs w:val="20"/>
        </w:rPr>
        <w:lastRenderedPageBreak/>
        <w:t>transferidos con ocasión de estas operaciones se deben considerar de acuerdo con el porcentaje de ponderación de riesgo de contraparte que les corresponda.</w:t>
      </w:r>
    </w:p>
    <w:p w14:paraId="6C4D7E95" w14:textId="77777777" w:rsidR="001D35AD" w:rsidRDefault="001D35AD" w:rsidP="001D35AD">
      <w:pPr>
        <w:spacing w:after="0"/>
        <w:jc w:val="both"/>
        <w:rPr>
          <w:rFonts w:ascii="Verdana" w:hAnsi="Verdana" w:cs="Arial"/>
          <w:color w:val="000000" w:themeColor="text1"/>
          <w:sz w:val="20"/>
          <w:szCs w:val="20"/>
        </w:rPr>
      </w:pPr>
    </w:p>
    <w:p w14:paraId="3F91C760" w14:textId="4A81B019" w:rsidR="0021350F" w:rsidRPr="001D35AD" w:rsidRDefault="0021350F" w:rsidP="001D35AD">
      <w:pPr>
        <w:spacing w:after="0"/>
        <w:jc w:val="both"/>
        <w:rPr>
          <w:rFonts w:ascii="Verdana" w:hAnsi="Verdana" w:cs="Arial"/>
          <w:color w:val="000000"/>
          <w:sz w:val="20"/>
          <w:szCs w:val="20"/>
        </w:rPr>
      </w:pPr>
      <w:r w:rsidRPr="00923E21">
        <w:rPr>
          <w:rFonts w:ascii="Verdana" w:hAnsi="Verdana" w:cs="Arial"/>
          <w:b/>
          <w:bCs/>
          <w:color w:val="000000"/>
          <w:sz w:val="20"/>
          <w:szCs w:val="20"/>
        </w:rPr>
        <w:t>Ponderación de otros activos</w:t>
      </w:r>
    </w:p>
    <w:p w14:paraId="569A7A13" w14:textId="77777777" w:rsidR="0021350F" w:rsidRPr="00923E21" w:rsidRDefault="0021350F" w:rsidP="0021350F">
      <w:pPr>
        <w:pStyle w:val="Titulo"/>
        <w:numPr>
          <w:ilvl w:val="0"/>
          <w:numId w:val="0"/>
        </w:numPr>
        <w:ind w:left="426" w:hanging="426"/>
        <w:jc w:val="both"/>
        <w:rPr>
          <w:rFonts w:ascii="Verdana" w:hAnsi="Verdana" w:cs="Arial"/>
          <w:b/>
          <w:bCs/>
          <w:color w:val="000000"/>
          <w:sz w:val="20"/>
          <w:szCs w:val="20"/>
        </w:rPr>
      </w:pPr>
    </w:p>
    <w:p w14:paraId="7F4A20B0" w14:textId="7F4CD2FB" w:rsidR="0021350F" w:rsidRPr="00923E21" w:rsidRDefault="0021350F" w:rsidP="001D35AD">
      <w:pPr>
        <w:pStyle w:val="Titulo"/>
        <w:numPr>
          <w:ilvl w:val="0"/>
          <w:numId w:val="21"/>
        </w:numPr>
        <w:ind w:left="284" w:hanging="284"/>
        <w:jc w:val="both"/>
        <w:rPr>
          <w:rFonts w:ascii="Verdana" w:hAnsi="Verdana" w:cs="Arial"/>
          <w:color w:val="000000"/>
          <w:sz w:val="20"/>
          <w:szCs w:val="20"/>
        </w:rPr>
      </w:pPr>
      <w:r w:rsidRPr="00923E21">
        <w:rPr>
          <w:rFonts w:ascii="Verdana" w:hAnsi="Verdana" w:cs="Arial"/>
          <w:b/>
          <w:bCs/>
          <w:color w:val="000000"/>
          <w:sz w:val="20"/>
          <w:szCs w:val="20"/>
        </w:rPr>
        <w:t>Clasificación de activos, exposiciones y contingencias sujetos a riesgo de crédito frente a microempresas, pequeñas, medianas y grandes empresas</w:t>
      </w:r>
    </w:p>
    <w:p w14:paraId="59D4EE75" w14:textId="77777777" w:rsidR="0021350F" w:rsidRPr="00923E21" w:rsidRDefault="0021350F" w:rsidP="0021350F">
      <w:pPr>
        <w:pStyle w:val="Titulo"/>
        <w:numPr>
          <w:ilvl w:val="0"/>
          <w:numId w:val="0"/>
        </w:numPr>
        <w:ind w:left="360" w:hanging="360"/>
        <w:jc w:val="both"/>
        <w:rPr>
          <w:rFonts w:ascii="Verdana" w:hAnsi="Verdana" w:cs="Arial"/>
          <w:color w:val="000000"/>
          <w:sz w:val="20"/>
          <w:szCs w:val="20"/>
        </w:rPr>
      </w:pPr>
    </w:p>
    <w:p w14:paraId="52C234A1" w14:textId="7D42BED8" w:rsidR="00FB2E86" w:rsidRPr="00A2626A" w:rsidRDefault="00FB2E86" w:rsidP="00FB2E8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3F2544">
        <w:rPr>
          <w:rFonts w:ascii="Verdana" w:hAnsi="Verdana" w:cs="Arial"/>
          <w:bCs/>
          <w:sz w:val="20"/>
          <w:szCs w:val="20"/>
        </w:rPr>
        <w:t>61</w:t>
      </w:r>
      <w:r w:rsidRPr="00A2626A">
        <w:rPr>
          <w:rFonts w:ascii="Verdana" w:hAnsi="Verdana" w:cs="Arial"/>
          <w:bCs/>
          <w:sz w:val="20"/>
          <w:szCs w:val="20"/>
        </w:rPr>
        <w:t>.</w:t>
      </w:r>
    </w:p>
    <w:p w14:paraId="58CCD558" w14:textId="77777777" w:rsidR="0021350F" w:rsidRPr="00923E21" w:rsidRDefault="0021350F" w:rsidP="0021350F">
      <w:pPr>
        <w:pStyle w:val="Titulo"/>
        <w:numPr>
          <w:ilvl w:val="0"/>
          <w:numId w:val="0"/>
        </w:numPr>
        <w:jc w:val="both"/>
        <w:rPr>
          <w:rFonts w:ascii="Verdana" w:hAnsi="Verdana" w:cs="Arial"/>
          <w:color w:val="000000"/>
          <w:sz w:val="20"/>
          <w:szCs w:val="20"/>
        </w:rPr>
      </w:pPr>
      <w:r w:rsidRPr="00923E21">
        <w:rPr>
          <w:rFonts w:ascii="Verdana" w:hAnsi="Verdana" w:cs="Arial"/>
          <w:color w:val="000000"/>
          <w:sz w:val="20"/>
          <w:szCs w:val="20"/>
        </w:rPr>
        <w:t>Para la clasificación y ponderación de los activos, exposiciones y contingencias emitidos y otorgados en Colombia a contrapartes que tengan la calidad de microempresas, pequeñas, medianas y grandes empresas, se deben utilizar las definiciones contempladas en la Ley 590 de 2000, el Decreto 957 de 2019 y las demás normas que los reglamenten, modifiquen, sustituyan o adicionen.</w:t>
      </w:r>
    </w:p>
    <w:p w14:paraId="45217ED0" w14:textId="77777777" w:rsidR="0021350F" w:rsidRPr="00923E21" w:rsidRDefault="0021350F" w:rsidP="0021350F">
      <w:pPr>
        <w:pStyle w:val="Titulo"/>
        <w:numPr>
          <w:ilvl w:val="0"/>
          <w:numId w:val="0"/>
        </w:numPr>
        <w:ind w:left="360" w:hanging="360"/>
        <w:jc w:val="both"/>
        <w:rPr>
          <w:rFonts w:ascii="Verdana" w:hAnsi="Verdana" w:cs="Arial"/>
          <w:color w:val="000000"/>
          <w:sz w:val="20"/>
          <w:szCs w:val="20"/>
        </w:rPr>
      </w:pPr>
    </w:p>
    <w:p w14:paraId="1397EA34" w14:textId="0C977315" w:rsidR="00FB2E86" w:rsidRPr="00A2626A" w:rsidRDefault="00FB2E86" w:rsidP="00FB2E8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3F2544">
        <w:rPr>
          <w:rFonts w:ascii="Verdana" w:hAnsi="Verdana" w:cs="Arial"/>
          <w:bCs/>
          <w:sz w:val="20"/>
          <w:szCs w:val="20"/>
        </w:rPr>
        <w:t>62</w:t>
      </w:r>
      <w:r w:rsidRPr="00A2626A">
        <w:rPr>
          <w:rFonts w:ascii="Verdana" w:hAnsi="Verdana" w:cs="Arial"/>
          <w:bCs/>
          <w:sz w:val="20"/>
          <w:szCs w:val="20"/>
        </w:rPr>
        <w:t>.</w:t>
      </w:r>
    </w:p>
    <w:p w14:paraId="310AD658" w14:textId="77777777" w:rsidR="0021350F" w:rsidRPr="00923E21" w:rsidRDefault="0021350F" w:rsidP="0021350F">
      <w:pPr>
        <w:pStyle w:val="Titulo"/>
        <w:numPr>
          <w:ilvl w:val="0"/>
          <w:numId w:val="0"/>
        </w:numPr>
        <w:jc w:val="both"/>
        <w:rPr>
          <w:rFonts w:ascii="Verdana" w:hAnsi="Verdana" w:cs="Arial"/>
          <w:color w:val="000000"/>
          <w:sz w:val="20"/>
          <w:szCs w:val="20"/>
        </w:rPr>
      </w:pPr>
      <w:r w:rsidRPr="00923E21">
        <w:rPr>
          <w:rFonts w:ascii="Verdana" w:hAnsi="Verdana" w:cs="Arial"/>
          <w:color w:val="000000"/>
          <w:sz w:val="20"/>
          <w:szCs w:val="20"/>
        </w:rPr>
        <w:t>Tratándose de la clasificación y ponderación de los activos, exposiciones y contingencias emitidos y otorgados en el exterior y por las subordinadas del exterior, se podrá utilizar la clasificación y la correspondiente ponderación por riesgo crediticio, según las instrucciones de la Proform</w:t>
      </w:r>
      <w:r w:rsidRPr="00890C58">
        <w:rPr>
          <w:rFonts w:ascii="Verdana" w:hAnsi="Verdana" w:cs="Arial"/>
          <w:color w:val="000000"/>
          <w:sz w:val="20"/>
          <w:szCs w:val="20"/>
        </w:rPr>
        <w:t>a F.6000-39 (Formato 421) “Declaración del Control de Ley Relación Mínima de Solvencia</w:t>
      </w:r>
      <w:r w:rsidRPr="00923E21">
        <w:rPr>
          <w:rFonts w:ascii="Verdana" w:hAnsi="Verdana" w:cs="Arial"/>
          <w:color w:val="000000"/>
          <w:sz w:val="20"/>
          <w:szCs w:val="20"/>
        </w:rPr>
        <w:t xml:space="preserve"> – Sociedades Administradoras de Fondos de Pensiones y de Cesantías”, siempre que en la jurisdicción donde se encuentre ubicada la contraparte exista una definición legal de micro, pequeña, mediana y/o gran empresa. </w:t>
      </w:r>
    </w:p>
    <w:p w14:paraId="07CDAD36" w14:textId="77777777" w:rsidR="0021350F" w:rsidRPr="00923E21" w:rsidRDefault="0021350F" w:rsidP="0021350F">
      <w:pPr>
        <w:pStyle w:val="Titulo"/>
        <w:numPr>
          <w:ilvl w:val="0"/>
          <w:numId w:val="0"/>
        </w:numPr>
        <w:ind w:left="360" w:hanging="360"/>
        <w:jc w:val="both"/>
        <w:rPr>
          <w:rFonts w:ascii="Verdana" w:hAnsi="Verdana" w:cs="Arial"/>
          <w:color w:val="000000"/>
          <w:sz w:val="20"/>
          <w:szCs w:val="20"/>
        </w:rPr>
      </w:pPr>
    </w:p>
    <w:p w14:paraId="787AAFC7" w14:textId="5382386C" w:rsidR="0021350F" w:rsidRPr="00923E21" w:rsidRDefault="0021350F" w:rsidP="008B4F11">
      <w:pPr>
        <w:pStyle w:val="Titulo"/>
        <w:numPr>
          <w:ilvl w:val="0"/>
          <w:numId w:val="21"/>
        </w:numPr>
        <w:ind w:left="284" w:hanging="284"/>
        <w:jc w:val="both"/>
        <w:rPr>
          <w:rFonts w:ascii="Verdana" w:hAnsi="Verdana" w:cs="Arial"/>
          <w:b/>
          <w:bCs/>
          <w:sz w:val="20"/>
          <w:szCs w:val="20"/>
        </w:rPr>
      </w:pPr>
      <w:r w:rsidRPr="00923E21">
        <w:rPr>
          <w:rFonts w:ascii="Verdana" w:hAnsi="Verdana" w:cs="Arial"/>
          <w:b/>
          <w:bCs/>
          <w:sz w:val="20"/>
          <w:szCs w:val="20"/>
        </w:rPr>
        <w:t>Activos incumplidos</w:t>
      </w:r>
    </w:p>
    <w:p w14:paraId="15B66A38" w14:textId="77777777" w:rsidR="0021350F" w:rsidRPr="00923E21" w:rsidRDefault="0021350F" w:rsidP="0021350F">
      <w:pPr>
        <w:pStyle w:val="Titulo"/>
        <w:numPr>
          <w:ilvl w:val="0"/>
          <w:numId w:val="0"/>
        </w:numPr>
        <w:ind w:left="360" w:hanging="360"/>
        <w:jc w:val="both"/>
        <w:rPr>
          <w:rFonts w:ascii="Verdana" w:hAnsi="Verdana" w:cs="Arial"/>
          <w:sz w:val="20"/>
          <w:szCs w:val="20"/>
        </w:rPr>
      </w:pPr>
    </w:p>
    <w:p w14:paraId="2F3605F4" w14:textId="4D0678E1" w:rsidR="00FB2E86" w:rsidRPr="00A2626A" w:rsidRDefault="00FB2E86" w:rsidP="00FB2E8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6</w:t>
      </w:r>
      <w:r w:rsidR="003F2544">
        <w:rPr>
          <w:rFonts w:ascii="Verdana" w:hAnsi="Verdana" w:cs="Arial"/>
          <w:bCs/>
          <w:sz w:val="20"/>
          <w:szCs w:val="20"/>
        </w:rPr>
        <w:t>3</w:t>
      </w:r>
      <w:r w:rsidRPr="00A2626A">
        <w:rPr>
          <w:rFonts w:ascii="Verdana" w:hAnsi="Verdana" w:cs="Arial"/>
          <w:bCs/>
          <w:sz w:val="20"/>
          <w:szCs w:val="20"/>
        </w:rPr>
        <w:t>.</w:t>
      </w:r>
    </w:p>
    <w:p w14:paraId="1215A2D0" w14:textId="77777777" w:rsidR="0021350F" w:rsidRPr="00923E21" w:rsidRDefault="0021350F" w:rsidP="0021350F">
      <w:pPr>
        <w:pStyle w:val="Titulo"/>
        <w:numPr>
          <w:ilvl w:val="0"/>
          <w:numId w:val="0"/>
        </w:numPr>
        <w:jc w:val="both"/>
        <w:rPr>
          <w:rFonts w:ascii="Verdana" w:hAnsi="Verdana" w:cs="Arial"/>
          <w:sz w:val="20"/>
          <w:szCs w:val="20"/>
        </w:rPr>
      </w:pPr>
      <w:r w:rsidRPr="00923E21">
        <w:rPr>
          <w:rFonts w:ascii="Verdana" w:hAnsi="Verdana" w:cs="Arial"/>
          <w:sz w:val="20"/>
          <w:szCs w:val="20"/>
        </w:rPr>
        <w:t>De acuerdo con lo dispuesto en el numeral 4.1 del artículo 2.6.1.1.10 del Decreto 2555 de 2010 para los efectos del presente capítulo, se debe entender como activos en incumplimiento, los activos que presenten más de 90 días de mora o una calificación en dicha categoría de riesgo.</w:t>
      </w:r>
    </w:p>
    <w:p w14:paraId="6313CF71" w14:textId="77777777" w:rsidR="0021350F" w:rsidRPr="00923E21" w:rsidRDefault="0021350F" w:rsidP="0021350F">
      <w:pPr>
        <w:pStyle w:val="Titulo"/>
        <w:numPr>
          <w:ilvl w:val="0"/>
          <w:numId w:val="0"/>
        </w:numPr>
        <w:ind w:left="360" w:hanging="360"/>
        <w:jc w:val="both"/>
        <w:rPr>
          <w:rFonts w:ascii="Verdana" w:hAnsi="Verdana" w:cs="Arial"/>
          <w:sz w:val="20"/>
          <w:szCs w:val="20"/>
        </w:rPr>
      </w:pPr>
    </w:p>
    <w:p w14:paraId="0A09FFA4" w14:textId="59515457" w:rsidR="0021350F" w:rsidRPr="00923E21" w:rsidRDefault="0021350F" w:rsidP="008B4F11">
      <w:pPr>
        <w:pStyle w:val="Titulo"/>
        <w:numPr>
          <w:ilvl w:val="0"/>
          <w:numId w:val="21"/>
        </w:numPr>
        <w:ind w:left="284" w:hanging="284"/>
        <w:jc w:val="both"/>
        <w:rPr>
          <w:rFonts w:ascii="Verdana" w:hAnsi="Verdana" w:cs="Arial"/>
          <w:b/>
          <w:bCs/>
          <w:sz w:val="20"/>
          <w:szCs w:val="20"/>
        </w:rPr>
      </w:pPr>
      <w:r w:rsidRPr="00923E21">
        <w:rPr>
          <w:rFonts w:ascii="Verdana" w:hAnsi="Verdana" w:cs="Arial"/>
          <w:b/>
          <w:bCs/>
          <w:sz w:val="20"/>
          <w:szCs w:val="20"/>
        </w:rPr>
        <w:t>Activos destinados a la cobertura de otros riesgos</w:t>
      </w:r>
    </w:p>
    <w:p w14:paraId="3CA0E509" w14:textId="77777777" w:rsidR="0021350F" w:rsidRPr="00923E21" w:rsidRDefault="0021350F" w:rsidP="0021350F">
      <w:pPr>
        <w:pStyle w:val="Titulo"/>
        <w:numPr>
          <w:ilvl w:val="0"/>
          <w:numId w:val="0"/>
        </w:numPr>
        <w:ind w:left="360" w:hanging="360"/>
        <w:jc w:val="both"/>
        <w:rPr>
          <w:rFonts w:ascii="Verdana" w:hAnsi="Verdana" w:cs="Arial"/>
          <w:sz w:val="20"/>
          <w:szCs w:val="20"/>
        </w:rPr>
      </w:pPr>
    </w:p>
    <w:p w14:paraId="18AB8081" w14:textId="30A11D83" w:rsidR="00EF6199" w:rsidRPr="00A2626A" w:rsidRDefault="00EF6199" w:rsidP="00EF6199">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6</w:t>
      </w:r>
      <w:r w:rsidR="003F2544">
        <w:rPr>
          <w:rFonts w:ascii="Verdana" w:hAnsi="Verdana" w:cs="Arial"/>
          <w:bCs/>
          <w:sz w:val="20"/>
          <w:szCs w:val="20"/>
        </w:rPr>
        <w:t>4</w:t>
      </w:r>
      <w:r w:rsidRPr="00A2626A">
        <w:rPr>
          <w:rFonts w:ascii="Verdana" w:hAnsi="Verdana" w:cs="Arial"/>
          <w:bCs/>
          <w:sz w:val="20"/>
          <w:szCs w:val="20"/>
        </w:rPr>
        <w:t>.</w:t>
      </w:r>
    </w:p>
    <w:p w14:paraId="037F556D" w14:textId="61C3640D" w:rsidR="0021350F" w:rsidRPr="00923E21" w:rsidRDefault="0021350F" w:rsidP="0021350F">
      <w:pPr>
        <w:pStyle w:val="Titulo"/>
        <w:numPr>
          <w:ilvl w:val="0"/>
          <w:numId w:val="0"/>
        </w:numPr>
        <w:jc w:val="both"/>
        <w:rPr>
          <w:rFonts w:ascii="Verdana" w:hAnsi="Verdana" w:cs="Arial"/>
          <w:color w:val="000000"/>
          <w:sz w:val="20"/>
          <w:szCs w:val="20"/>
        </w:rPr>
      </w:pPr>
      <w:r w:rsidRPr="00923E21">
        <w:rPr>
          <w:rFonts w:ascii="Verdana" w:hAnsi="Verdana" w:cs="Arial"/>
          <w:color w:val="000000"/>
          <w:sz w:val="20"/>
          <w:szCs w:val="20"/>
        </w:rPr>
        <w:t xml:space="preserve">El valor de los activos destinados a la cobertura de las desviaciones en la cuantificación del monto correspondiente al patrimonio autónomo al que se refiere el </w:t>
      </w:r>
      <w:r w:rsidR="00B15448">
        <w:rPr>
          <w:rFonts w:ascii="Verdana" w:hAnsi="Verdana" w:cs="Arial"/>
          <w:sz w:val="20"/>
          <w:szCs w:val="20"/>
        </w:rPr>
        <w:t>párrafo 2.4.3.17.</w:t>
      </w:r>
      <w:r w:rsidRPr="00923E21">
        <w:rPr>
          <w:rFonts w:ascii="Verdana" w:hAnsi="Verdana" w:cs="Arial"/>
          <w:color w:val="000000"/>
          <w:sz w:val="20"/>
          <w:szCs w:val="20"/>
        </w:rPr>
        <w:t xml:space="preserve"> será el monto que la entidad determine en cumplimiento de la instrucción particular que le imparta la SFC.</w:t>
      </w:r>
    </w:p>
    <w:p w14:paraId="46FCF131" w14:textId="77777777" w:rsidR="0021350F" w:rsidRPr="00923E21" w:rsidRDefault="0021350F" w:rsidP="0021350F">
      <w:pPr>
        <w:pStyle w:val="Titulo"/>
        <w:numPr>
          <w:ilvl w:val="0"/>
          <w:numId w:val="0"/>
        </w:numPr>
        <w:jc w:val="both"/>
        <w:rPr>
          <w:rFonts w:ascii="Verdana" w:hAnsi="Verdana" w:cs="Arial"/>
          <w:sz w:val="20"/>
          <w:szCs w:val="20"/>
        </w:rPr>
      </w:pPr>
    </w:p>
    <w:p w14:paraId="70BDC049" w14:textId="52EDAD32" w:rsidR="0021350F" w:rsidRPr="00923E21" w:rsidRDefault="0021350F" w:rsidP="00315238">
      <w:pPr>
        <w:pStyle w:val="Titulo"/>
        <w:numPr>
          <w:ilvl w:val="0"/>
          <w:numId w:val="21"/>
        </w:numPr>
        <w:ind w:left="284" w:hanging="284"/>
        <w:jc w:val="both"/>
        <w:rPr>
          <w:rFonts w:ascii="Verdana" w:hAnsi="Verdana" w:cs="Arial"/>
          <w:b/>
          <w:bCs/>
          <w:sz w:val="20"/>
          <w:szCs w:val="20"/>
        </w:rPr>
      </w:pPr>
      <w:r w:rsidRPr="00923E21">
        <w:rPr>
          <w:rFonts w:ascii="Verdana" w:hAnsi="Verdana" w:cs="Arial"/>
          <w:b/>
          <w:bCs/>
          <w:sz w:val="20"/>
          <w:szCs w:val="20"/>
        </w:rPr>
        <w:t>Otros activos</w:t>
      </w:r>
    </w:p>
    <w:p w14:paraId="3A86A868" w14:textId="77777777" w:rsidR="0021350F" w:rsidRPr="00923E21" w:rsidRDefault="0021350F" w:rsidP="0021350F">
      <w:pPr>
        <w:pStyle w:val="Titulo"/>
        <w:numPr>
          <w:ilvl w:val="0"/>
          <w:numId w:val="0"/>
        </w:numPr>
        <w:ind w:left="360" w:hanging="360"/>
        <w:jc w:val="both"/>
        <w:rPr>
          <w:rFonts w:ascii="Verdana" w:hAnsi="Verdana" w:cs="Arial"/>
          <w:sz w:val="20"/>
          <w:szCs w:val="20"/>
        </w:rPr>
      </w:pPr>
    </w:p>
    <w:p w14:paraId="35D1A3B9" w14:textId="0A17F887" w:rsidR="00EF6199" w:rsidRPr="00A2626A" w:rsidRDefault="00EF6199" w:rsidP="00EF6199">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6</w:t>
      </w:r>
      <w:r w:rsidR="003F2544">
        <w:rPr>
          <w:rFonts w:ascii="Verdana" w:hAnsi="Verdana" w:cs="Arial"/>
          <w:bCs/>
          <w:sz w:val="20"/>
          <w:szCs w:val="20"/>
        </w:rPr>
        <w:t>5</w:t>
      </w:r>
      <w:r w:rsidRPr="00A2626A">
        <w:rPr>
          <w:rFonts w:ascii="Verdana" w:hAnsi="Verdana" w:cs="Arial"/>
          <w:bCs/>
          <w:sz w:val="20"/>
          <w:szCs w:val="20"/>
        </w:rPr>
        <w:t>.</w:t>
      </w:r>
    </w:p>
    <w:p w14:paraId="0057CDDD" w14:textId="0432A9A7" w:rsidR="003F2544" w:rsidRDefault="0021350F" w:rsidP="00FC0ACF">
      <w:pPr>
        <w:pStyle w:val="Titulo"/>
        <w:numPr>
          <w:ilvl w:val="0"/>
          <w:numId w:val="0"/>
        </w:numPr>
        <w:jc w:val="both"/>
        <w:rPr>
          <w:rFonts w:ascii="Verdana" w:hAnsi="Verdana" w:cs="Arial"/>
          <w:sz w:val="20"/>
          <w:szCs w:val="20"/>
        </w:rPr>
      </w:pPr>
      <w:r w:rsidRPr="00923E21">
        <w:rPr>
          <w:rFonts w:ascii="Verdana" w:hAnsi="Verdana" w:cs="Arial"/>
          <w:sz w:val="20"/>
          <w:szCs w:val="20"/>
        </w:rPr>
        <w:t>Los activos de las entidades del sector público distintas de la Nación, incluidas las empresas de economía mixta, se deben ponderar de conformidad con lo definido en el numeral 6 del artículo 2.6.1.1.10 del Decreto 2555 de 2010.</w:t>
      </w:r>
    </w:p>
    <w:p w14:paraId="5A47E79D" w14:textId="77777777" w:rsidR="00FC0ACF" w:rsidRPr="00923E21" w:rsidRDefault="00FC0ACF" w:rsidP="00FC0ACF">
      <w:pPr>
        <w:pStyle w:val="Titulo"/>
        <w:numPr>
          <w:ilvl w:val="0"/>
          <w:numId w:val="0"/>
        </w:numPr>
        <w:jc w:val="both"/>
        <w:rPr>
          <w:rFonts w:ascii="Verdana" w:hAnsi="Verdana" w:cs="Arial"/>
          <w:sz w:val="20"/>
          <w:szCs w:val="20"/>
        </w:rPr>
      </w:pPr>
    </w:p>
    <w:p w14:paraId="2148E4C3" w14:textId="516E9467" w:rsidR="00EF6199" w:rsidRPr="00A2626A" w:rsidRDefault="00EF6199" w:rsidP="00EF6199">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6</w:t>
      </w:r>
      <w:r w:rsidR="003F2544">
        <w:rPr>
          <w:rFonts w:ascii="Verdana" w:hAnsi="Verdana" w:cs="Arial"/>
          <w:bCs/>
          <w:sz w:val="20"/>
          <w:szCs w:val="20"/>
        </w:rPr>
        <w:t>6</w:t>
      </w:r>
      <w:r w:rsidRPr="00A2626A">
        <w:rPr>
          <w:rFonts w:ascii="Verdana" w:hAnsi="Verdana" w:cs="Arial"/>
          <w:bCs/>
          <w:sz w:val="20"/>
          <w:szCs w:val="20"/>
        </w:rPr>
        <w:t>.</w:t>
      </w:r>
    </w:p>
    <w:p w14:paraId="63420006" w14:textId="77777777" w:rsidR="00A71AF8" w:rsidRDefault="0021350F" w:rsidP="00A71AF8">
      <w:pPr>
        <w:jc w:val="both"/>
        <w:rPr>
          <w:rFonts w:ascii="Verdana" w:hAnsi="Verdana" w:cs="Arial"/>
          <w:sz w:val="20"/>
          <w:szCs w:val="20"/>
        </w:rPr>
      </w:pPr>
      <w:r w:rsidRPr="00923E21">
        <w:rPr>
          <w:rFonts w:ascii="Verdana" w:hAnsi="Verdana" w:cs="Arial"/>
          <w:sz w:val="20"/>
          <w:szCs w:val="20"/>
        </w:rPr>
        <w:t>De igual forma, los activos de los entes territoriales se deben ponderar de acuerdo con los porcentajes establecidos en el numeral 6 del artículo 2.6.1.1.10 del Decreto 2555 de 2010. Para establecer el ponderador por riesgo de estos activos y exposiciones la entidad vigilada debe considerar la calificación de la capacidad de pago asignada a estas contrapartes por una sociedad calificadora de riesgos autorizada por la SFC, conforme a lo previsto en el capítulo II, título 2 de la parte 2 del Decreto 1068 de 2015 y sus modificaciones o actualizaciones (Decreto Único Reglamentario del Sector Hacienda y Crédito Público).</w:t>
      </w:r>
    </w:p>
    <w:p w14:paraId="283C69A9" w14:textId="10BAA469" w:rsidR="0021350F" w:rsidRPr="00A71AF8" w:rsidRDefault="0021350F" w:rsidP="00A71AF8">
      <w:pPr>
        <w:jc w:val="both"/>
        <w:rPr>
          <w:rFonts w:ascii="Verdana" w:hAnsi="Verdana" w:cs="Arial"/>
          <w:sz w:val="20"/>
          <w:szCs w:val="20"/>
        </w:rPr>
      </w:pPr>
      <w:r w:rsidRPr="00923E21">
        <w:rPr>
          <w:rFonts w:ascii="Verdana" w:hAnsi="Verdana" w:cs="Arial"/>
          <w:b/>
          <w:bCs/>
          <w:color w:val="000000"/>
          <w:sz w:val="20"/>
          <w:szCs w:val="20"/>
        </w:rPr>
        <w:t>Cálculo del valor de la exposición de los activos y de las garantías admisibles</w:t>
      </w:r>
    </w:p>
    <w:p w14:paraId="537006C7" w14:textId="25CDD436" w:rsidR="00EF6199" w:rsidRPr="00A2626A" w:rsidRDefault="00EF6199" w:rsidP="00EF6199">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6</w:t>
      </w:r>
      <w:r w:rsidR="003F2544">
        <w:rPr>
          <w:rFonts w:ascii="Verdana" w:hAnsi="Verdana" w:cs="Arial"/>
          <w:bCs/>
          <w:sz w:val="20"/>
          <w:szCs w:val="20"/>
        </w:rPr>
        <w:t>7</w:t>
      </w:r>
      <w:r w:rsidRPr="00A2626A">
        <w:rPr>
          <w:rFonts w:ascii="Verdana" w:hAnsi="Verdana" w:cs="Arial"/>
          <w:bCs/>
          <w:sz w:val="20"/>
          <w:szCs w:val="20"/>
        </w:rPr>
        <w:t>.</w:t>
      </w:r>
    </w:p>
    <w:p w14:paraId="2939C91E" w14:textId="77777777" w:rsidR="0021350F" w:rsidRDefault="0021350F" w:rsidP="0021350F">
      <w:pPr>
        <w:jc w:val="both"/>
        <w:rPr>
          <w:rFonts w:ascii="Verdana" w:hAnsi="Verdana" w:cs="Arial"/>
          <w:sz w:val="20"/>
          <w:szCs w:val="20"/>
        </w:rPr>
      </w:pPr>
      <w:r w:rsidRPr="00923E21">
        <w:rPr>
          <w:rFonts w:ascii="Verdana" w:hAnsi="Verdana" w:cs="Arial"/>
          <w:color w:val="000000"/>
          <w:sz w:val="20"/>
          <w:szCs w:val="20"/>
        </w:rPr>
        <w:t xml:space="preserve">Con fundamento en el artículo </w:t>
      </w:r>
      <w:r w:rsidRPr="00923E21">
        <w:rPr>
          <w:rFonts w:ascii="Verdana" w:hAnsi="Verdana" w:cs="Arial"/>
          <w:sz w:val="20"/>
          <w:szCs w:val="20"/>
        </w:rPr>
        <w:t>2.1.1.3.4. del Decreto</w:t>
      </w:r>
      <w:r w:rsidRPr="00923E21">
        <w:rPr>
          <w:rFonts w:ascii="Verdana" w:hAnsi="Verdana" w:cs="Arial"/>
          <w:color w:val="000000"/>
          <w:sz w:val="20"/>
          <w:szCs w:val="20"/>
        </w:rPr>
        <w:t xml:space="preserve"> </w:t>
      </w:r>
      <w:r w:rsidRPr="00923E21">
        <w:rPr>
          <w:rFonts w:ascii="Verdana" w:hAnsi="Verdana" w:cs="Arial"/>
          <w:sz w:val="20"/>
          <w:szCs w:val="20"/>
        </w:rPr>
        <w:t>2555 de 2010 para determinar el valor de exposición de los activos y garantías admisibles para efectos del cálculo del capital regulatorio, se debe tener en cuenta lo señalado a continuación:</w:t>
      </w:r>
    </w:p>
    <w:p w14:paraId="4363AAD3" w14:textId="77777777" w:rsidR="00B15448" w:rsidRDefault="00B15448" w:rsidP="0021350F">
      <w:pPr>
        <w:jc w:val="both"/>
        <w:rPr>
          <w:rFonts w:ascii="Verdana" w:hAnsi="Verdana" w:cs="Arial"/>
          <w:sz w:val="20"/>
          <w:szCs w:val="20"/>
        </w:rPr>
      </w:pPr>
    </w:p>
    <w:p w14:paraId="6A5228FE" w14:textId="77777777" w:rsidR="00B15448" w:rsidRDefault="00B15448" w:rsidP="0021350F">
      <w:pPr>
        <w:jc w:val="both"/>
        <w:rPr>
          <w:rFonts w:ascii="Verdana" w:hAnsi="Verdana" w:cs="Arial"/>
          <w:sz w:val="20"/>
          <w:szCs w:val="20"/>
        </w:rPr>
      </w:pPr>
    </w:p>
    <w:p w14:paraId="0760BCAC" w14:textId="77777777" w:rsidR="00B15448" w:rsidRPr="00923E21" w:rsidRDefault="00B15448" w:rsidP="0021350F">
      <w:pPr>
        <w:jc w:val="both"/>
        <w:rPr>
          <w:rFonts w:ascii="Verdana" w:hAnsi="Verdana" w:cs="Arial"/>
          <w:sz w:val="20"/>
          <w:szCs w:val="20"/>
        </w:rPr>
      </w:pPr>
    </w:p>
    <w:p w14:paraId="0235CE3E" w14:textId="2B097C0D" w:rsidR="0021350F" w:rsidRPr="00A71AF8" w:rsidRDefault="0021350F" w:rsidP="00302A80">
      <w:pPr>
        <w:pStyle w:val="Prrafodelista"/>
        <w:numPr>
          <w:ilvl w:val="0"/>
          <w:numId w:val="21"/>
        </w:numPr>
        <w:tabs>
          <w:tab w:val="left" w:pos="1134"/>
        </w:tabs>
        <w:ind w:left="284" w:hanging="284"/>
        <w:jc w:val="both"/>
        <w:rPr>
          <w:rFonts w:ascii="Verdana" w:hAnsi="Verdana" w:cs="Arial"/>
          <w:b/>
          <w:bCs/>
          <w:sz w:val="20"/>
          <w:szCs w:val="20"/>
        </w:rPr>
      </w:pPr>
      <w:r w:rsidRPr="00A71AF8">
        <w:rPr>
          <w:rFonts w:ascii="Verdana" w:hAnsi="Verdana" w:cs="Arial"/>
          <w:b/>
          <w:bCs/>
          <w:sz w:val="20"/>
          <w:szCs w:val="20"/>
        </w:rPr>
        <w:lastRenderedPageBreak/>
        <w:t>Valor de exposición de los activos</w:t>
      </w:r>
    </w:p>
    <w:p w14:paraId="7993A104" w14:textId="5B5D952B" w:rsidR="00EF6199" w:rsidRPr="00A2626A" w:rsidRDefault="00EF6199" w:rsidP="00EF6199">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6</w:t>
      </w:r>
      <w:r w:rsidR="003F2544">
        <w:rPr>
          <w:rFonts w:ascii="Verdana" w:hAnsi="Verdana" w:cs="Arial"/>
          <w:bCs/>
          <w:sz w:val="20"/>
          <w:szCs w:val="20"/>
        </w:rPr>
        <w:t>8</w:t>
      </w:r>
      <w:r w:rsidRPr="00A2626A">
        <w:rPr>
          <w:rFonts w:ascii="Verdana" w:hAnsi="Verdana" w:cs="Arial"/>
          <w:bCs/>
          <w:sz w:val="20"/>
          <w:szCs w:val="20"/>
        </w:rPr>
        <w:t>.</w:t>
      </w:r>
    </w:p>
    <w:p w14:paraId="5DEC2A54" w14:textId="6F4C1456" w:rsidR="00302A80" w:rsidRPr="00923E21" w:rsidRDefault="0021350F" w:rsidP="0021350F">
      <w:pPr>
        <w:jc w:val="both"/>
        <w:rPr>
          <w:rFonts w:ascii="Verdana" w:hAnsi="Verdana" w:cs="Arial"/>
          <w:sz w:val="20"/>
          <w:szCs w:val="20"/>
        </w:rPr>
      </w:pPr>
      <w:r w:rsidRPr="00923E21">
        <w:rPr>
          <w:rFonts w:ascii="Verdana" w:hAnsi="Verdana" w:cs="Arial"/>
          <w:sz w:val="20"/>
          <w:szCs w:val="20"/>
        </w:rPr>
        <w:t>Los activos, exposiciones y contingencias sujetos a riesgo de crédito se deben calcular, netos de provisiones de carácter individual y el valor de las garantías admisibles para efectos del cálculo del capital regulatorio, de conformidad con la siguiente expresión:</w:t>
      </w:r>
    </w:p>
    <w:p w14:paraId="66A72CED" w14:textId="77777777" w:rsidR="0021350F" w:rsidRPr="00923E21" w:rsidRDefault="0021350F" w:rsidP="0021350F">
      <w:pPr>
        <w:jc w:val="both"/>
        <w:rPr>
          <w:rFonts w:ascii="Verdana" w:hAnsi="Verdana" w:cs="Arial"/>
          <w:sz w:val="20"/>
          <w:szCs w:val="20"/>
        </w:rPr>
      </w:pPr>
      <m:oMathPara>
        <m:oMath>
          <m:r>
            <w:rPr>
              <w:rFonts w:ascii="Cambria Math" w:hAnsi="Cambria Math" w:cs="Arial"/>
              <w:sz w:val="20"/>
              <w:szCs w:val="20"/>
            </w:rPr>
            <m:t>E=</m:t>
          </m:r>
          <m:d>
            <m:dPr>
              <m:begChr m:val="["/>
              <m:endChr m:val="]"/>
              <m:ctrlPr>
                <w:rPr>
                  <w:rFonts w:ascii="Cambria Math" w:hAnsi="Cambria Math" w:cs="Arial"/>
                  <w:i/>
                  <w:sz w:val="20"/>
                  <w:szCs w:val="20"/>
                </w:rPr>
              </m:ctrlPr>
            </m:dPr>
            <m:e>
              <m:r>
                <w:rPr>
                  <w:rFonts w:ascii="Cambria Math" w:hAnsi="Cambria Math" w:cs="Arial"/>
                  <w:sz w:val="20"/>
                  <w:szCs w:val="20"/>
                </w:rPr>
                <m:t>A*</m:t>
              </m:r>
              <m:d>
                <m:dPr>
                  <m:ctrlPr>
                    <w:rPr>
                      <w:rFonts w:ascii="Cambria Math" w:hAnsi="Cambria Math" w:cs="Arial"/>
                      <w:i/>
                      <w:sz w:val="20"/>
                      <w:szCs w:val="20"/>
                    </w:rPr>
                  </m:ctrlPr>
                </m:dPr>
                <m:e>
                  <m:r>
                    <w:rPr>
                      <w:rFonts w:ascii="Cambria Math" w:hAnsi="Cambria Math" w:cs="Arial"/>
                      <w:sz w:val="20"/>
                      <w:szCs w:val="20"/>
                    </w:rPr>
                    <m:t>1+Fa</m:t>
                  </m:r>
                </m:e>
              </m:d>
            </m:e>
          </m:d>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G*</m:t>
              </m:r>
              <m:d>
                <m:dPr>
                  <m:ctrlPr>
                    <w:rPr>
                      <w:rFonts w:ascii="Cambria Math" w:hAnsi="Cambria Math" w:cs="Arial"/>
                      <w:i/>
                      <w:sz w:val="20"/>
                      <w:szCs w:val="20"/>
                    </w:rPr>
                  </m:ctrlPr>
                </m:dPr>
                <m:e>
                  <m:r>
                    <w:rPr>
                      <w:rFonts w:ascii="Cambria Math" w:hAnsi="Cambria Math" w:cs="Arial"/>
                      <w:sz w:val="20"/>
                      <w:szCs w:val="20"/>
                    </w:rPr>
                    <m:t>1-Fg-Fc</m:t>
                  </m:r>
                </m:e>
              </m:d>
            </m:e>
          </m:d>
        </m:oMath>
      </m:oMathPara>
    </w:p>
    <w:p w14:paraId="074A6471" w14:textId="50137621" w:rsidR="0021350F" w:rsidRPr="00923E21" w:rsidRDefault="0021350F" w:rsidP="0021350F">
      <w:pPr>
        <w:jc w:val="both"/>
        <w:rPr>
          <w:rFonts w:ascii="Verdana" w:hAnsi="Verdana" w:cs="Arial"/>
          <w:sz w:val="20"/>
          <w:szCs w:val="20"/>
        </w:rPr>
      </w:pPr>
      <w:r w:rsidRPr="00923E21">
        <w:rPr>
          <w:rFonts w:ascii="Verdana" w:hAnsi="Verdana" w:cs="Arial"/>
          <w:sz w:val="20"/>
          <w:szCs w:val="20"/>
        </w:rPr>
        <w:t>Donde</w:t>
      </w:r>
      <w:r w:rsidR="003F2544">
        <w:rPr>
          <w:rFonts w:ascii="Verdana" w:hAnsi="Verdana" w:cs="Arial"/>
          <w:sz w:val="20"/>
          <w:szCs w:val="20"/>
        </w:rPr>
        <w:t>:</w:t>
      </w:r>
    </w:p>
    <w:p w14:paraId="1DDC9751" w14:textId="1C78193E" w:rsidR="0021350F" w:rsidRPr="00923E21" w:rsidRDefault="00302A80" w:rsidP="0021350F">
      <w:pPr>
        <w:jc w:val="both"/>
        <w:rPr>
          <w:rFonts w:ascii="Verdana" w:hAnsi="Verdana" w:cs="Arial"/>
          <w:sz w:val="20"/>
          <w:szCs w:val="20"/>
        </w:rPr>
      </w:pPr>
      <m:oMath>
        <m:r>
          <w:rPr>
            <w:rFonts w:ascii="Cambria Math" w:hAnsi="Cambria Math" w:cs="Arial"/>
            <w:sz w:val="20"/>
            <w:szCs w:val="20"/>
          </w:rPr>
          <m:t>E:</m:t>
        </m:r>
      </m:oMath>
      <w:r w:rsidR="0021350F" w:rsidRPr="00302A80">
        <w:rPr>
          <w:rFonts w:ascii="Verdana" w:hAnsi="Verdana" w:cs="Arial"/>
          <w:bCs/>
          <w:sz w:val="20"/>
          <w:szCs w:val="20"/>
        </w:rPr>
        <w:t xml:space="preserve"> </w:t>
      </w:r>
      <w:r w:rsidR="0021350F" w:rsidRPr="00923E21">
        <w:rPr>
          <w:rFonts w:ascii="Verdana" w:hAnsi="Verdana" w:cs="Arial"/>
          <w:sz w:val="20"/>
          <w:szCs w:val="20"/>
        </w:rPr>
        <w:t>Valor de exposición del activo</w:t>
      </w:r>
    </w:p>
    <w:p w14:paraId="32A5D378" w14:textId="27E49B6E" w:rsidR="0021350F" w:rsidRPr="00923E21" w:rsidRDefault="00302A80" w:rsidP="0021350F">
      <w:pPr>
        <w:jc w:val="both"/>
        <w:rPr>
          <w:rFonts w:ascii="Verdana" w:hAnsi="Verdana" w:cs="Arial"/>
          <w:sz w:val="20"/>
          <w:szCs w:val="20"/>
        </w:rPr>
      </w:pPr>
      <m:oMath>
        <m:r>
          <w:rPr>
            <w:rFonts w:ascii="Cambria Math" w:hAnsi="Cambria Math" w:cs="Arial"/>
            <w:sz w:val="20"/>
            <w:szCs w:val="20"/>
          </w:rPr>
          <m:t>A:</m:t>
        </m:r>
      </m:oMath>
      <w:r w:rsidR="0021350F" w:rsidRPr="00923E21">
        <w:rPr>
          <w:rFonts w:ascii="Verdana" w:hAnsi="Verdana" w:cs="Arial"/>
          <w:sz w:val="20"/>
          <w:szCs w:val="20"/>
        </w:rPr>
        <w:t xml:space="preserve"> Valor del activo neto de provisiones</w:t>
      </w:r>
    </w:p>
    <w:p w14:paraId="1EAE82A7" w14:textId="1FD4CD07" w:rsidR="0021350F" w:rsidRPr="00923E21" w:rsidRDefault="00302A80" w:rsidP="0021350F">
      <w:pPr>
        <w:jc w:val="both"/>
        <w:rPr>
          <w:rFonts w:ascii="Verdana" w:hAnsi="Verdana" w:cs="Arial"/>
          <w:sz w:val="20"/>
          <w:szCs w:val="20"/>
        </w:rPr>
      </w:pPr>
      <m:oMath>
        <m:r>
          <w:rPr>
            <w:rFonts w:ascii="Cambria Math" w:hAnsi="Cambria Math" w:cs="Arial"/>
            <w:sz w:val="20"/>
            <w:szCs w:val="20"/>
          </w:rPr>
          <m:t>Fa:</m:t>
        </m:r>
      </m:oMath>
      <w:r w:rsidR="0021350F" w:rsidRPr="00923E21">
        <w:rPr>
          <w:rFonts w:ascii="Verdana" w:hAnsi="Verdana" w:cs="Arial"/>
          <w:sz w:val="20"/>
          <w:szCs w:val="20"/>
        </w:rPr>
        <w:t xml:space="preserve"> Factor de ajuste del activo</w:t>
      </w:r>
    </w:p>
    <w:p w14:paraId="27D71544" w14:textId="4999FFE3" w:rsidR="0021350F" w:rsidRPr="00923E21" w:rsidRDefault="00302A80" w:rsidP="0021350F">
      <w:pPr>
        <w:jc w:val="both"/>
        <w:rPr>
          <w:rFonts w:ascii="Verdana" w:hAnsi="Verdana" w:cs="Arial"/>
          <w:sz w:val="20"/>
          <w:szCs w:val="20"/>
        </w:rPr>
      </w:pPr>
      <m:oMath>
        <m:r>
          <w:rPr>
            <w:rFonts w:ascii="Cambria Math" w:hAnsi="Cambria Math" w:cs="Arial"/>
            <w:sz w:val="20"/>
            <w:szCs w:val="20"/>
          </w:rPr>
          <m:t>G:</m:t>
        </m:r>
      </m:oMath>
      <w:r w:rsidR="0021350F" w:rsidRPr="00923E21">
        <w:rPr>
          <w:rFonts w:ascii="Verdana" w:hAnsi="Verdana" w:cs="Arial"/>
          <w:sz w:val="20"/>
          <w:szCs w:val="20"/>
        </w:rPr>
        <w:t xml:space="preserve"> Valor de las garantías</w:t>
      </w:r>
    </w:p>
    <w:p w14:paraId="015787F5" w14:textId="4A60B220" w:rsidR="0021350F" w:rsidRPr="00923E21" w:rsidRDefault="00302A80" w:rsidP="0021350F">
      <w:pPr>
        <w:jc w:val="both"/>
        <w:rPr>
          <w:rFonts w:ascii="Verdana" w:hAnsi="Verdana" w:cs="Arial"/>
          <w:sz w:val="20"/>
          <w:szCs w:val="20"/>
        </w:rPr>
      </w:pPr>
      <m:oMath>
        <m:r>
          <w:rPr>
            <w:rFonts w:ascii="Cambria Math" w:hAnsi="Cambria Math" w:cs="Arial"/>
            <w:sz w:val="20"/>
            <w:szCs w:val="20"/>
          </w:rPr>
          <m:t>Fg:</m:t>
        </m:r>
      </m:oMath>
      <w:r w:rsidR="0021350F" w:rsidRPr="00923E21">
        <w:rPr>
          <w:rFonts w:ascii="Verdana" w:hAnsi="Verdana" w:cs="Arial"/>
          <w:sz w:val="20"/>
          <w:szCs w:val="20"/>
        </w:rPr>
        <w:t xml:space="preserve"> Factor de ajuste de la garantía</w:t>
      </w:r>
    </w:p>
    <w:p w14:paraId="345E61F3" w14:textId="0CB10C92" w:rsidR="0021350F" w:rsidRPr="00923E21" w:rsidRDefault="00302A80" w:rsidP="0021350F">
      <w:pPr>
        <w:jc w:val="both"/>
        <w:rPr>
          <w:rFonts w:ascii="Verdana" w:hAnsi="Verdana" w:cs="Arial"/>
          <w:sz w:val="20"/>
          <w:szCs w:val="20"/>
        </w:rPr>
      </w:pPr>
      <m:oMath>
        <m:r>
          <w:rPr>
            <w:rFonts w:ascii="Cambria Math" w:hAnsi="Cambria Math" w:cs="Arial"/>
            <w:sz w:val="20"/>
            <w:szCs w:val="20"/>
          </w:rPr>
          <m:t>Fc:</m:t>
        </m:r>
      </m:oMath>
      <w:r w:rsidR="0021350F" w:rsidRPr="00923E21">
        <w:rPr>
          <w:rFonts w:ascii="Verdana" w:hAnsi="Verdana" w:cs="Arial"/>
          <w:sz w:val="20"/>
          <w:szCs w:val="20"/>
        </w:rPr>
        <w:t xml:space="preserve"> Factor de ajuste cambiario</w:t>
      </w:r>
    </w:p>
    <w:p w14:paraId="226D74EB" w14:textId="5CA69620" w:rsidR="00EF6199" w:rsidRPr="00A2626A" w:rsidRDefault="00EF6199" w:rsidP="00EF6199">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6</w:t>
      </w:r>
      <w:r w:rsidR="003F2544">
        <w:rPr>
          <w:rFonts w:ascii="Verdana" w:hAnsi="Verdana" w:cs="Arial"/>
          <w:bCs/>
          <w:sz w:val="20"/>
          <w:szCs w:val="20"/>
        </w:rPr>
        <w:t>9</w:t>
      </w:r>
      <w:r w:rsidRPr="00A2626A">
        <w:rPr>
          <w:rFonts w:ascii="Verdana" w:hAnsi="Verdana" w:cs="Arial"/>
          <w:bCs/>
          <w:sz w:val="20"/>
          <w:szCs w:val="20"/>
        </w:rPr>
        <w:t>.</w:t>
      </w:r>
    </w:p>
    <w:p w14:paraId="23E06881"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El valor de la exposición del activo no podrá ser superior a su valor neto de provisiones y tampoco podrá ser inferior al 20% de su valor neto de provisiones de carácter individual.</w:t>
      </w:r>
    </w:p>
    <w:p w14:paraId="10DE4BED" w14:textId="7593FB1D" w:rsidR="00EF6199" w:rsidRPr="00A2626A" w:rsidRDefault="00EF6199" w:rsidP="00EF6199">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3F2544">
        <w:rPr>
          <w:rFonts w:ascii="Verdana" w:hAnsi="Verdana" w:cs="Arial"/>
          <w:bCs/>
          <w:sz w:val="20"/>
          <w:szCs w:val="20"/>
        </w:rPr>
        <w:t>70</w:t>
      </w:r>
      <w:r w:rsidRPr="00A2626A">
        <w:rPr>
          <w:rFonts w:ascii="Verdana" w:hAnsi="Verdana" w:cs="Arial"/>
          <w:bCs/>
          <w:sz w:val="20"/>
          <w:szCs w:val="20"/>
        </w:rPr>
        <w:t>.</w:t>
      </w:r>
    </w:p>
    <w:p w14:paraId="5FEAECEE" w14:textId="77777777" w:rsidR="00EF6199" w:rsidRDefault="0021350F" w:rsidP="00EF6199">
      <w:pPr>
        <w:jc w:val="both"/>
        <w:rPr>
          <w:rFonts w:ascii="Verdana" w:hAnsi="Verdana" w:cs="Arial"/>
          <w:sz w:val="20"/>
          <w:szCs w:val="20"/>
        </w:rPr>
      </w:pPr>
      <w:r w:rsidRPr="00923E21">
        <w:rPr>
          <w:rFonts w:ascii="Verdana" w:hAnsi="Verdana" w:cs="Arial"/>
          <w:sz w:val="20"/>
          <w:szCs w:val="20"/>
        </w:rPr>
        <w:t>Se exceptúan de la presente instrucción, las operaciones a las que se refieren los parágrafos 4 y 6 del artículo 2.6.1.1.10 del Decreto 2555 de 2010.</w:t>
      </w:r>
    </w:p>
    <w:p w14:paraId="3C528A6A" w14:textId="6986266E" w:rsidR="00EF6199" w:rsidRPr="00A2626A" w:rsidRDefault="00EF6199" w:rsidP="00EF6199">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3F2544">
        <w:rPr>
          <w:rFonts w:ascii="Verdana" w:hAnsi="Verdana" w:cs="Arial"/>
          <w:bCs/>
          <w:sz w:val="20"/>
          <w:szCs w:val="20"/>
        </w:rPr>
        <w:t>71</w:t>
      </w:r>
      <w:r w:rsidRPr="00A2626A">
        <w:rPr>
          <w:rFonts w:ascii="Verdana" w:hAnsi="Verdana" w:cs="Arial"/>
          <w:bCs/>
          <w:sz w:val="20"/>
          <w:szCs w:val="20"/>
        </w:rPr>
        <w:t>.</w:t>
      </w:r>
    </w:p>
    <w:p w14:paraId="2E42C06A" w14:textId="5A471739" w:rsidR="00302A80" w:rsidRDefault="0021350F" w:rsidP="00302A80">
      <w:pPr>
        <w:tabs>
          <w:tab w:val="left" w:pos="540"/>
        </w:tabs>
        <w:spacing w:after="0" w:line="240" w:lineRule="auto"/>
        <w:jc w:val="both"/>
        <w:rPr>
          <w:rFonts w:ascii="Verdana" w:hAnsi="Verdana" w:cs="Arial"/>
          <w:sz w:val="20"/>
          <w:szCs w:val="20"/>
        </w:rPr>
      </w:pPr>
      <w:r w:rsidRPr="0050A195">
        <w:rPr>
          <w:rFonts w:ascii="Verdana" w:hAnsi="Verdana" w:cs="Arial"/>
          <w:sz w:val="20"/>
          <w:szCs w:val="20"/>
        </w:rPr>
        <w:t xml:space="preserve">A los activos, exposiciones y contingencias avalados o garantizados por la Nación, el Banco de la República, Fogafín, Fogacoop, gobiernos o bancos centrales de otros países y los organismos señalados en el subnumeral 1.4 del artículo 2.6.1.1.10 del Decreto 2555 de 2010, no se les aplicará lo dispuesto en la presente instrucción; por tal razón, la exposición del activo será igual a su valor neto de provisiones. Cuando el alcance de los avales y garantías </w:t>
      </w:r>
      <w:r w:rsidRPr="00985E84">
        <w:rPr>
          <w:rFonts w:ascii="Verdana" w:hAnsi="Verdana" w:cs="Arial"/>
          <w:sz w:val="20"/>
          <w:szCs w:val="20"/>
        </w:rPr>
        <w:t xml:space="preserve">esté referido a una parte de la operación, se aplicará lo previsto en </w:t>
      </w:r>
      <w:r w:rsidR="00985E84" w:rsidRPr="00985E84">
        <w:rPr>
          <w:rFonts w:ascii="Verdana" w:hAnsi="Verdana" w:cs="Arial"/>
          <w:sz w:val="20"/>
          <w:szCs w:val="20"/>
        </w:rPr>
        <w:t xml:space="preserve">la presente sección </w:t>
      </w:r>
      <w:r w:rsidRPr="00985E84">
        <w:rPr>
          <w:rFonts w:ascii="Verdana" w:hAnsi="Verdana" w:cs="Arial"/>
          <w:sz w:val="20"/>
          <w:szCs w:val="20"/>
        </w:rPr>
        <w:t>sobre la parte descubierta, considerando los colaterales financieros admisibles como garantías.</w:t>
      </w:r>
      <w:r w:rsidRPr="0050A195">
        <w:rPr>
          <w:rFonts w:ascii="Verdana" w:hAnsi="Verdana" w:cs="Arial"/>
          <w:sz w:val="20"/>
          <w:szCs w:val="20"/>
        </w:rPr>
        <w:t xml:space="preserve"> </w:t>
      </w:r>
    </w:p>
    <w:p w14:paraId="0EE9958F" w14:textId="77777777" w:rsidR="00302A80" w:rsidRDefault="00302A80" w:rsidP="00302A80">
      <w:pPr>
        <w:tabs>
          <w:tab w:val="left" w:pos="540"/>
        </w:tabs>
        <w:spacing w:after="0" w:line="240" w:lineRule="auto"/>
        <w:jc w:val="both"/>
        <w:rPr>
          <w:rFonts w:ascii="Verdana" w:hAnsi="Verdana" w:cs="Arial"/>
          <w:sz w:val="20"/>
          <w:szCs w:val="20"/>
        </w:rPr>
      </w:pPr>
    </w:p>
    <w:p w14:paraId="7A97C665" w14:textId="77777777" w:rsidR="00302A80" w:rsidRPr="00302A80" w:rsidRDefault="0021350F" w:rsidP="00302A80">
      <w:pPr>
        <w:pStyle w:val="Prrafodelista"/>
        <w:numPr>
          <w:ilvl w:val="0"/>
          <w:numId w:val="21"/>
        </w:numPr>
        <w:tabs>
          <w:tab w:val="left" w:pos="540"/>
        </w:tabs>
        <w:spacing w:after="0" w:line="240" w:lineRule="auto"/>
        <w:ind w:left="284" w:hanging="284"/>
        <w:jc w:val="both"/>
        <w:rPr>
          <w:rFonts w:ascii="Verdana" w:hAnsi="Verdana" w:cs="Arial"/>
          <w:sz w:val="20"/>
          <w:szCs w:val="20"/>
        </w:rPr>
      </w:pPr>
      <w:r w:rsidRPr="00302A80">
        <w:rPr>
          <w:rFonts w:ascii="Verdana" w:hAnsi="Verdana" w:cs="Arial"/>
          <w:b/>
          <w:bCs/>
          <w:sz w:val="20"/>
          <w:szCs w:val="20"/>
        </w:rPr>
        <w:t>Factor de ajuste del activo (Fa)</w:t>
      </w:r>
    </w:p>
    <w:p w14:paraId="28FA1C75" w14:textId="77777777" w:rsidR="00302A80" w:rsidRDefault="00302A80" w:rsidP="003F0547">
      <w:pPr>
        <w:tabs>
          <w:tab w:val="left" w:pos="540"/>
        </w:tabs>
        <w:spacing w:after="0" w:line="240" w:lineRule="auto"/>
        <w:jc w:val="both"/>
        <w:rPr>
          <w:rFonts w:ascii="Verdana" w:hAnsi="Verdana" w:cs="Arial"/>
          <w:sz w:val="20"/>
          <w:szCs w:val="20"/>
        </w:rPr>
      </w:pPr>
    </w:p>
    <w:p w14:paraId="40218207" w14:textId="7FAF2E24" w:rsidR="003F0547" w:rsidRPr="00302A80" w:rsidRDefault="003F0547" w:rsidP="003F0547">
      <w:pPr>
        <w:tabs>
          <w:tab w:val="left" w:pos="540"/>
        </w:tabs>
        <w:spacing w:after="0" w:line="240" w:lineRule="auto"/>
        <w:jc w:val="both"/>
        <w:rPr>
          <w:rFonts w:ascii="Verdana" w:hAnsi="Verdana" w:cs="Arial"/>
          <w:sz w:val="20"/>
          <w:szCs w:val="20"/>
        </w:rPr>
      </w:pPr>
      <w:r w:rsidRPr="00A2626A">
        <w:rPr>
          <w:rFonts w:ascii="Verdana" w:hAnsi="Verdana" w:cs="Arial"/>
          <w:bCs/>
          <w:sz w:val="20"/>
          <w:szCs w:val="20"/>
        </w:rPr>
        <w:t>2.4.3.</w:t>
      </w:r>
      <w:r w:rsidR="003F2544">
        <w:rPr>
          <w:rFonts w:ascii="Verdana" w:hAnsi="Verdana" w:cs="Arial"/>
          <w:bCs/>
          <w:sz w:val="20"/>
          <w:szCs w:val="20"/>
        </w:rPr>
        <w:t>72</w:t>
      </w:r>
      <w:r w:rsidRPr="00A2626A">
        <w:rPr>
          <w:rFonts w:ascii="Verdana" w:hAnsi="Verdana" w:cs="Arial"/>
          <w:bCs/>
          <w:sz w:val="20"/>
          <w:szCs w:val="20"/>
        </w:rPr>
        <w:t>.</w:t>
      </w:r>
    </w:p>
    <w:p w14:paraId="05446E63" w14:textId="26B17473" w:rsidR="0021350F" w:rsidRPr="00923E21" w:rsidRDefault="0021350F" w:rsidP="0021350F">
      <w:pPr>
        <w:contextualSpacing/>
        <w:jc w:val="both"/>
        <w:rPr>
          <w:rFonts w:ascii="Verdana" w:hAnsi="Verdana" w:cs="Arial"/>
          <w:sz w:val="20"/>
          <w:szCs w:val="20"/>
        </w:rPr>
      </w:pPr>
      <w:r w:rsidRPr="0050A195">
        <w:rPr>
          <w:rFonts w:ascii="Verdana" w:hAnsi="Verdana" w:cs="Arial"/>
          <w:sz w:val="20"/>
          <w:szCs w:val="20"/>
        </w:rPr>
        <w:t>El Fa será igual a cero siempre que los activos que sean objeto de la operación se realicen en efectivo. En el caso de préstamos de valores (entrega o recepción de títulos) el Fa será el mismo factor de ajuste de la garantía (Fg).</w:t>
      </w:r>
    </w:p>
    <w:p w14:paraId="2D4B8703" w14:textId="25A6EB29" w:rsidR="0021350F" w:rsidRPr="00E5525F" w:rsidRDefault="0021350F" w:rsidP="00E5525F">
      <w:pPr>
        <w:pStyle w:val="Prrafodelista"/>
        <w:numPr>
          <w:ilvl w:val="0"/>
          <w:numId w:val="21"/>
        </w:numPr>
        <w:ind w:left="284" w:hanging="284"/>
        <w:jc w:val="both"/>
        <w:rPr>
          <w:rFonts w:ascii="Verdana" w:hAnsi="Verdana" w:cs="Arial"/>
          <w:b/>
          <w:bCs/>
          <w:sz w:val="20"/>
          <w:szCs w:val="20"/>
        </w:rPr>
      </w:pPr>
      <w:r w:rsidRPr="00E5525F">
        <w:rPr>
          <w:rFonts w:ascii="Verdana" w:hAnsi="Verdana" w:cs="Arial"/>
          <w:b/>
          <w:bCs/>
          <w:sz w:val="20"/>
          <w:szCs w:val="20"/>
        </w:rPr>
        <w:t>Garantías admisibles para efectos de capital regulatorio y factor de ajuste de la garantía (Fg)</w:t>
      </w:r>
    </w:p>
    <w:p w14:paraId="171A8018" w14:textId="3E46B231" w:rsidR="003F0547" w:rsidRPr="00A2626A" w:rsidRDefault="003F0547" w:rsidP="003F054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E92B6B">
        <w:rPr>
          <w:rFonts w:ascii="Verdana" w:hAnsi="Verdana" w:cs="Arial"/>
          <w:bCs/>
          <w:sz w:val="20"/>
          <w:szCs w:val="20"/>
        </w:rPr>
        <w:t>7</w:t>
      </w:r>
      <w:r w:rsidR="003F2544">
        <w:rPr>
          <w:rFonts w:ascii="Verdana" w:hAnsi="Verdana" w:cs="Arial"/>
          <w:bCs/>
          <w:sz w:val="20"/>
          <w:szCs w:val="20"/>
        </w:rPr>
        <w:t>3</w:t>
      </w:r>
      <w:r w:rsidRPr="00A2626A">
        <w:rPr>
          <w:rFonts w:ascii="Verdana" w:hAnsi="Verdana" w:cs="Arial"/>
          <w:bCs/>
          <w:sz w:val="20"/>
          <w:szCs w:val="20"/>
        </w:rPr>
        <w:t>.</w:t>
      </w:r>
    </w:p>
    <w:p w14:paraId="6F48D08D"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que acepten garantías admisibles que sean colaterales financieros admisibles, en los términos señalados en el capítulo 1 del título 2 del libro 1 de la parte 2 del Decreto 2555 de 2010, podrán calcular el valor de exposición de los activos ajustado por el valor del colateral financiero admisible. Asimismo, deberán considerar las fluctuaciones futuras sobre el valor de estas garantías a raíz de las oscilaciones del mercado, para lo cual deben aplicar el factor de ajuste de las garantías que depende del tipo de instrumento, el tipo de operación, el vencimiento residual, la frecuencia de la valoración del activo y la reposición de márgenes. De igual forma, si la exposición y el colateral están denominados en monedas distintas las entidades deben aplicar un descuento adicional al colateral por efectos de las fluctuaciones futuras de las tasas de cambio.</w:t>
      </w:r>
    </w:p>
    <w:p w14:paraId="553DE293" w14:textId="55C9B2F5" w:rsidR="003F0547" w:rsidRPr="00A2626A" w:rsidRDefault="003F0547" w:rsidP="003F054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7</w:t>
      </w:r>
      <w:r w:rsidR="003F2544">
        <w:rPr>
          <w:rFonts w:ascii="Verdana" w:hAnsi="Verdana" w:cs="Arial"/>
          <w:bCs/>
          <w:sz w:val="20"/>
          <w:szCs w:val="20"/>
        </w:rPr>
        <w:t>4</w:t>
      </w:r>
      <w:r w:rsidRPr="00A2626A">
        <w:rPr>
          <w:rFonts w:ascii="Verdana" w:hAnsi="Verdana" w:cs="Arial"/>
          <w:bCs/>
          <w:sz w:val="20"/>
          <w:szCs w:val="20"/>
        </w:rPr>
        <w:t>.</w:t>
      </w:r>
    </w:p>
    <w:p w14:paraId="40439305" w14:textId="19379576" w:rsidR="00E5525F" w:rsidRDefault="0021350F" w:rsidP="0021350F">
      <w:pPr>
        <w:jc w:val="both"/>
        <w:rPr>
          <w:rFonts w:ascii="Verdana" w:hAnsi="Verdana" w:cs="Arial"/>
          <w:sz w:val="20"/>
          <w:szCs w:val="20"/>
        </w:rPr>
      </w:pPr>
      <w:r w:rsidRPr="00923E21">
        <w:rPr>
          <w:rFonts w:ascii="Verdana" w:hAnsi="Verdana" w:cs="Arial"/>
          <w:sz w:val="20"/>
          <w:szCs w:val="20"/>
        </w:rPr>
        <w:t xml:space="preserve">Serán admisibles para efectos del capital regulatorio las garantías clasificadas como colateral financiero que se citan a continuación: </w:t>
      </w:r>
    </w:p>
    <w:p w14:paraId="341B9FDA" w14:textId="77777777" w:rsidR="009E7916" w:rsidRDefault="009E7916" w:rsidP="0021350F">
      <w:pPr>
        <w:jc w:val="both"/>
        <w:rPr>
          <w:rFonts w:ascii="Verdana" w:hAnsi="Verdana" w:cs="Arial"/>
          <w:sz w:val="20"/>
          <w:szCs w:val="20"/>
        </w:rPr>
      </w:pPr>
    </w:p>
    <w:p w14:paraId="2AB33B17" w14:textId="77777777" w:rsidR="009E7916" w:rsidRPr="00923E21" w:rsidRDefault="009E7916" w:rsidP="0021350F">
      <w:pPr>
        <w:jc w:val="both"/>
        <w:rPr>
          <w:rFonts w:ascii="Verdana" w:hAnsi="Verdana" w:cs="Arial"/>
          <w:sz w:val="20"/>
          <w:szCs w:val="20"/>
        </w:rPr>
      </w:pPr>
    </w:p>
    <w:p w14:paraId="2EE983C6" w14:textId="3B79A894" w:rsidR="0021350F" w:rsidRPr="00E5525F" w:rsidRDefault="0021350F" w:rsidP="00E5525F">
      <w:pPr>
        <w:pStyle w:val="Prrafodelista"/>
        <w:numPr>
          <w:ilvl w:val="0"/>
          <w:numId w:val="27"/>
        </w:numPr>
        <w:spacing w:after="0" w:line="240" w:lineRule="auto"/>
        <w:ind w:left="567" w:hanging="283"/>
        <w:jc w:val="both"/>
        <w:rPr>
          <w:rFonts w:ascii="Verdana" w:hAnsi="Verdana" w:cs="Arial"/>
          <w:b/>
          <w:bCs/>
          <w:sz w:val="20"/>
          <w:szCs w:val="20"/>
        </w:rPr>
      </w:pPr>
      <w:r w:rsidRPr="00E5525F">
        <w:rPr>
          <w:rFonts w:ascii="Verdana" w:hAnsi="Verdana" w:cs="Arial"/>
          <w:b/>
          <w:sz w:val="20"/>
          <w:szCs w:val="20"/>
        </w:rPr>
        <w:lastRenderedPageBreak/>
        <w:t>Colateral financiero admisible</w:t>
      </w:r>
    </w:p>
    <w:p w14:paraId="60D713D3" w14:textId="77777777" w:rsidR="00E5525F" w:rsidRDefault="00E5525F" w:rsidP="003F0547">
      <w:pPr>
        <w:tabs>
          <w:tab w:val="left" w:pos="540"/>
        </w:tabs>
        <w:spacing w:after="0" w:line="240" w:lineRule="auto"/>
        <w:jc w:val="both"/>
        <w:rPr>
          <w:rFonts w:ascii="Verdana" w:hAnsi="Verdana" w:cs="Arial"/>
          <w:sz w:val="20"/>
          <w:szCs w:val="20"/>
        </w:rPr>
      </w:pPr>
    </w:p>
    <w:p w14:paraId="0853633D" w14:textId="68D6C7D4" w:rsidR="003F0547" w:rsidRPr="00A2626A" w:rsidRDefault="003F0547" w:rsidP="003F054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7</w:t>
      </w:r>
      <w:r w:rsidR="003F2544">
        <w:rPr>
          <w:rFonts w:ascii="Verdana" w:hAnsi="Verdana" w:cs="Arial"/>
          <w:bCs/>
          <w:sz w:val="20"/>
          <w:szCs w:val="20"/>
        </w:rPr>
        <w:t>5</w:t>
      </w:r>
      <w:r w:rsidRPr="00A2626A">
        <w:rPr>
          <w:rFonts w:ascii="Verdana" w:hAnsi="Verdana" w:cs="Arial"/>
          <w:bCs/>
          <w:sz w:val="20"/>
          <w:szCs w:val="20"/>
        </w:rPr>
        <w:t>.</w:t>
      </w:r>
    </w:p>
    <w:p w14:paraId="3E9DC371" w14:textId="77777777" w:rsidR="0021350F" w:rsidRPr="00923E21" w:rsidRDefault="0021350F" w:rsidP="0050A195">
      <w:pPr>
        <w:jc w:val="both"/>
        <w:rPr>
          <w:rFonts w:ascii="Verdana" w:hAnsi="Verdana" w:cs="Arial"/>
          <w:sz w:val="20"/>
          <w:szCs w:val="20"/>
        </w:rPr>
      </w:pPr>
      <w:r w:rsidRPr="0050A195">
        <w:rPr>
          <w:rFonts w:ascii="Verdana" w:hAnsi="Verdana" w:cs="Arial"/>
          <w:sz w:val="20"/>
          <w:szCs w:val="20"/>
        </w:rPr>
        <w:t>Las entidades podrán ajustar la exposición del activo con el valor del colateral financiero admisible, siempre que tales garantías correspondan con activos contabilizados y valorados al valor razonable con cambios en resultados. Para el efecto, se podrán reconocer como colateral financiero admisible las mismas garantías que se consideran admisibles para el cálculo del costo de reposición y el multiplicador por garantías de los instrumentos financieros derivados. Asimismo, deberán utilizarse los siguientes ajustes sobre el valor de la garantía, siempre que se realice la valoración diaria del activo a precios de mercado, reposición diaria de márgenes y un periodo de mantenimiento máximo de 10 días hábiles, para determinar los descuentos adecuados a la garantía Fg.</w:t>
      </w:r>
    </w:p>
    <w:p w14:paraId="6A998E08" w14:textId="788058E5" w:rsidR="003F0547" w:rsidRPr="00A2626A" w:rsidRDefault="003F0547" w:rsidP="003F054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7</w:t>
      </w:r>
      <w:r w:rsidR="003F2544">
        <w:rPr>
          <w:rFonts w:ascii="Verdana" w:hAnsi="Verdana" w:cs="Arial"/>
          <w:bCs/>
          <w:sz w:val="20"/>
          <w:szCs w:val="20"/>
        </w:rPr>
        <w:t>6</w:t>
      </w:r>
      <w:r w:rsidRPr="00A2626A">
        <w:rPr>
          <w:rFonts w:ascii="Verdana" w:hAnsi="Verdana" w:cs="Arial"/>
          <w:bCs/>
          <w:sz w:val="20"/>
          <w:szCs w:val="20"/>
        </w:rPr>
        <w:t>.</w:t>
      </w:r>
    </w:p>
    <w:p w14:paraId="0C6EC0D8" w14:textId="237C2550" w:rsidR="0021350F" w:rsidRPr="00923E21" w:rsidRDefault="0021350F" w:rsidP="0021350F">
      <w:pPr>
        <w:jc w:val="both"/>
        <w:rPr>
          <w:rFonts w:ascii="Verdana" w:hAnsi="Verdana" w:cs="Arial"/>
          <w:sz w:val="20"/>
          <w:szCs w:val="20"/>
        </w:rPr>
      </w:pPr>
      <w:r w:rsidRPr="0050A195">
        <w:rPr>
          <w:rFonts w:ascii="Verdana" w:hAnsi="Verdana" w:cs="Arial"/>
          <w:sz w:val="20"/>
          <w:szCs w:val="20"/>
        </w:rPr>
        <w:t>A continuación, se detalla el tipo de colateral financiero admisible y el Fg correspondiente: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4665"/>
      </w:tblGrid>
      <w:tr w:rsidR="0021350F" w:rsidRPr="00923E21" w14:paraId="7E69756D" w14:textId="77777777" w:rsidTr="00C54FB2">
        <w:trPr>
          <w:tblHeader/>
          <w:jc w:val="center"/>
        </w:trPr>
        <w:tc>
          <w:tcPr>
            <w:tcW w:w="4332" w:type="dxa"/>
            <w:shd w:val="clear" w:color="auto" w:fill="D1D1D1" w:themeFill="background2" w:themeFillShade="E6"/>
          </w:tcPr>
          <w:p w14:paraId="0FE8D65E" w14:textId="77777777" w:rsidR="0021350F" w:rsidRPr="00E5525F" w:rsidRDefault="0021350F" w:rsidP="00E5525F">
            <w:pPr>
              <w:spacing w:after="0" w:line="240" w:lineRule="auto"/>
              <w:jc w:val="center"/>
              <w:rPr>
                <w:rFonts w:ascii="Verdana" w:eastAsia="Times New Roman" w:hAnsi="Verdana" w:cs="Arial"/>
                <w:b/>
                <w:bCs/>
                <w:color w:val="000000"/>
                <w:kern w:val="0"/>
                <w:sz w:val="16"/>
                <w:szCs w:val="16"/>
                <w:lang w:eastAsia="es-CO"/>
                <w14:ligatures w14:val="none"/>
              </w:rPr>
            </w:pPr>
            <w:r w:rsidRPr="00E5525F">
              <w:rPr>
                <w:rFonts w:ascii="Verdana" w:eastAsia="Times New Roman" w:hAnsi="Verdana" w:cs="Arial"/>
                <w:b/>
                <w:bCs/>
                <w:color w:val="000000"/>
                <w:kern w:val="0"/>
                <w:sz w:val="16"/>
                <w:szCs w:val="16"/>
                <w:lang w:eastAsia="es-CO"/>
                <w14:ligatures w14:val="none"/>
              </w:rPr>
              <w:t>Colateral financiero admisible</w:t>
            </w:r>
          </w:p>
        </w:tc>
        <w:tc>
          <w:tcPr>
            <w:tcW w:w="4877" w:type="dxa"/>
            <w:shd w:val="clear" w:color="auto" w:fill="D1D1D1" w:themeFill="background2" w:themeFillShade="E6"/>
          </w:tcPr>
          <w:p w14:paraId="72749AF4" w14:textId="77777777" w:rsidR="0021350F" w:rsidRPr="00E5525F" w:rsidRDefault="0021350F" w:rsidP="00E5525F">
            <w:pPr>
              <w:spacing w:after="0" w:line="240" w:lineRule="auto"/>
              <w:jc w:val="center"/>
              <w:rPr>
                <w:rFonts w:ascii="Verdana" w:eastAsia="Times New Roman" w:hAnsi="Verdana" w:cs="Arial"/>
                <w:b/>
                <w:bCs/>
                <w:color w:val="000000"/>
                <w:kern w:val="0"/>
                <w:sz w:val="16"/>
                <w:szCs w:val="16"/>
                <w:lang w:eastAsia="es-CO"/>
                <w14:ligatures w14:val="none"/>
              </w:rPr>
            </w:pPr>
            <w:r w:rsidRPr="00E5525F">
              <w:rPr>
                <w:rFonts w:ascii="Verdana" w:eastAsia="Times New Roman" w:hAnsi="Verdana" w:cs="Arial"/>
                <w:b/>
                <w:bCs/>
                <w:color w:val="000000"/>
                <w:kern w:val="0"/>
                <w:sz w:val="16"/>
                <w:szCs w:val="16"/>
                <w:lang w:eastAsia="es-CO"/>
                <w14:ligatures w14:val="none"/>
              </w:rPr>
              <w:t>Fg</w:t>
            </w:r>
          </w:p>
        </w:tc>
      </w:tr>
      <w:tr w:rsidR="0021350F" w:rsidRPr="00923E21" w14:paraId="66245564" w14:textId="77777777" w:rsidTr="0050A195">
        <w:trPr>
          <w:jc w:val="center"/>
        </w:trPr>
        <w:tc>
          <w:tcPr>
            <w:tcW w:w="4332" w:type="dxa"/>
          </w:tcPr>
          <w:p w14:paraId="2ECAE14B" w14:textId="77777777" w:rsidR="0021350F" w:rsidRPr="00E5525F" w:rsidRDefault="0021350F" w:rsidP="00E5525F">
            <w:pPr>
              <w:spacing w:after="0" w:line="240" w:lineRule="auto"/>
              <w:jc w:val="both"/>
              <w:rPr>
                <w:rFonts w:ascii="Verdana" w:eastAsia="Times New Roman" w:hAnsi="Verdana" w:cs="Arial"/>
                <w:color w:val="000000"/>
                <w:kern w:val="0"/>
                <w:sz w:val="16"/>
                <w:szCs w:val="16"/>
                <w:lang w:eastAsia="es-CO"/>
                <w14:ligatures w14:val="none"/>
              </w:rPr>
            </w:pPr>
            <w:r w:rsidRPr="00E5525F">
              <w:rPr>
                <w:rFonts w:ascii="Verdana" w:eastAsia="Times New Roman" w:hAnsi="Verdana" w:cs="Arial"/>
                <w:color w:val="000000"/>
                <w:kern w:val="0"/>
                <w:sz w:val="16"/>
                <w:szCs w:val="16"/>
                <w:lang w:eastAsia="es-CO"/>
                <w14:ligatures w14:val="none"/>
              </w:rPr>
              <w:t>Efectivo en pesos o divisas</w:t>
            </w:r>
          </w:p>
        </w:tc>
        <w:tc>
          <w:tcPr>
            <w:tcW w:w="4877" w:type="dxa"/>
          </w:tcPr>
          <w:p w14:paraId="3831B61D" w14:textId="77777777" w:rsidR="0021350F" w:rsidRPr="00E5525F" w:rsidRDefault="0021350F" w:rsidP="00026C9F">
            <w:pPr>
              <w:spacing w:after="0" w:line="240" w:lineRule="auto"/>
              <w:jc w:val="center"/>
              <w:rPr>
                <w:rFonts w:ascii="Verdana" w:eastAsia="Times New Roman" w:hAnsi="Verdana" w:cs="Arial"/>
                <w:color w:val="000000"/>
                <w:kern w:val="0"/>
                <w:sz w:val="16"/>
                <w:szCs w:val="16"/>
                <w:lang w:eastAsia="es-CO"/>
                <w14:ligatures w14:val="none"/>
              </w:rPr>
            </w:pPr>
            <w:r w:rsidRPr="00E5525F">
              <w:rPr>
                <w:rFonts w:ascii="Verdana" w:eastAsia="Times New Roman" w:hAnsi="Verdana" w:cs="Arial"/>
                <w:color w:val="000000"/>
                <w:kern w:val="0"/>
                <w:sz w:val="16"/>
                <w:szCs w:val="16"/>
                <w:lang w:eastAsia="es-CO"/>
                <w14:ligatures w14:val="none"/>
              </w:rPr>
              <w:t>0%</w:t>
            </w:r>
          </w:p>
        </w:tc>
      </w:tr>
      <w:tr w:rsidR="0021350F" w:rsidRPr="00923E21" w14:paraId="4FC6CB0F" w14:textId="77777777" w:rsidTr="0050A195">
        <w:trPr>
          <w:trHeight w:val="855"/>
          <w:jc w:val="center"/>
        </w:trPr>
        <w:tc>
          <w:tcPr>
            <w:tcW w:w="4332" w:type="dxa"/>
          </w:tcPr>
          <w:p w14:paraId="1AECDBE2" w14:textId="77777777" w:rsidR="0021350F" w:rsidRPr="00E5525F" w:rsidRDefault="0021350F" w:rsidP="00E5525F">
            <w:pPr>
              <w:spacing w:after="0" w:line="240" w:lineRule="auto"/>
              <w:jc w:val="both"/>
              <w:rPr>
                <w:rFonts w:ascii="Verdana" w:eastAsia="Times New Roman" w:hAnsi="Verdana" w:cs="Arial"/>
                <w:color w:val="000000"/>
                <w:kern w:val="0"/>
                <w:sz w:val="16"/>
                <w:szCs w:val="16"/>
                <w:lang w:eastAsia="es-CO"/>
                <w14:ligatures w14:val="none"/>
              </w:rPr>
            </w:pPr>
            <w:r w:rsidRPr="00E5525F">
              <w:rPr>
                <w:rFonts w:ascii="Verdana" w:eastAsia="Times New Roman" w:hAnsi="Verdana" w:cs="Arial"/>
                <w:color w:val="000000"/>
                <w:kern w:val="0"/>
                <w:sz w:val="16"/>
                <w:szCs w:val="16"/>
                <w:lang w:eastAsia="es-CO"/>
                <w14:ligatures w14:val="none"/>
              </w:rPr>
              <w:t>Títulos de renta fija aceptados por el Banco de la República como colateral en operaciones repo de expansión</w:t>
            </w:r>
          </w:p>
        </w:tc>
        <w:tc>
          <w:tcPr>
            <w:tcW w:w="4877" w:type="dxa"/>
          </w:tcPr>
          <w:p w14:paraId="0BBC3EED" w14:textId="77777777" w:rsidR="0021350F" w:rsidRPr="00E5525F" w:rsidRDefault="0021350F" w:rsidP="00E5525F">
            <w:pPr>
              <w:pStyle w:val="Normal9pt"/>
              <w:numPr>
                <w:ilvl w:val="0"/>
                <w:numId w:val="0"/>
              </w:numPr>
              <w:rPr>
                <w:rFonts w:ascii="Verdana" w:hAnsi="Verdana"/>
                <w:i w:val="0"/>
                <w:color w:val="000000"/>
                <w:sz w:val="16"/>
                <w:szCs w:val="16"/>
                <w:lang w:val="es-CO"/>
              </w:rPr>
            </w:pPr>
            <w:r w:rsidRPr="00E5525F">
              <w:rPr>
                <w:rFonts w:ascii="Verdana" w:hAnsi="Verdana"/>
                <w:i w:val="0"/>
                <w:color w:val="000000"/>
                <w:sz w:val="16"/>
                <w:szCs w:val="16"/>
                <w:lang w:val="es-CO"/>
              </w:rPr>
              <w:t>Se deben aplicar los ajustes o descuentos que aplica el Banco de la República, los cuales son actualizados y publicados en la página web del Banco</w:t>
            </w:r>
          </w:p>
        </w:tc>
      </w:tr>
      <w:tr w:rsidR="0021350F" w:rsidRPr="00923E21" w14:paraId="1EFB2BF9" w14:textId="77777777" w:rsidTr="0050A195">
        <w:trPr>
          <w:jc w:val="center"/>
        </w:trPr>
        <w:tc>
          <w:tcPr>
            <w:tcW w:w="4332" w:type="dxa"/>
          </w:tcPr>
          <w:p w14:paraId="1868EACC" w14:textId="77777777" w:rsidR="0021350F" w:rsidRPr="00E5525F" w:rsidRDefault="0021350F" w:rsidP="00E5525F">
            <w:pPr>
              <w:spacing w:after="0" w:line="240" w:lineRule="auto"/>
              <w:jc w:val="both"/>
              <w:rPr>
                <w:rFonts w:ascii="Verdana" w:eastAsia="Times New Roman" w:hAnsi="Verdana" w:cs="Arial"/>
                <w:color w:val="000000"/>
                <w:kern w:val="0"/>
                <w:sz w:val="16"/>
                <w:szCs w:val="16"/>
                <w:lang w:eastAsia="es-CO"/>
                <w14:ligatures w14:val="none"/>
              </w:rPr>
            </w:pPr>
            <w:r w:rsidRPr="00E5525F">
              <w:rPr>
                <w:rFonts w:ascii="Verdana" w:eastAsia="Times New Roman" w:hAnsi="Verdana" w:cs="Arial"/>
                <w:color w:val="000000"/>
                <w:kern w:val="0"/>
                <w:sz w:val="16"/>
                <w:szCs w:val="16"/>
                <w:lang w:eastAsia="es-CO"/>
                <w14:ligatures w14:val="none"/>
              </w:rPr>
              <w:t>Títulos de deuda pública extranjera de emisores con grado de inversión</w:t>
            </w:r>
          </w:p>
        </w:tc>
        <w:tc>
          <w:tcPr>
            <w:tcW w:w="4877" w:type="dxa"/>
          </w:tcPr>
          <w:p w14:paraId="0C04609D" w14:textId="77777777" w:rsidR="0021350F" w:rsidRPr="00E5525F" w:rsidRDefault="0021350F" w:rsidP="00E5525F">
            <w:pPr>
              <w:spacing w:after="0" w:line="240" w:lineRule="auto"/>
              <w:jc w:val="center"/>
              <w:rPr>
                <w:rFonts w:ascii="Verdana" w:eastAsia="Times New Roman" w:hAnsi="Verdana" w:cs="Arial"/>
                <w:color w:val="000000"/>
                <w:kern w:val="0"/>
                <w:sz w:val="16"/>
                <w:szCs w:val="16"/>
                <w:lang w:eastAsia="es-CO"/>
                <w14:ligatures w14:val="none"/>
              </w:rPr>
            </w:pPr>
            <w:r w:rsidRPr="00E5525F">
              <w:rPr>
                <w:rFonts w:ascii="Verdana" w:eastAsia="Times New Roman" w:hAnsi="Verdana" w:cs="Arial"/>
                <w:color w:val="000000"/>
                <w:kern w:val="0"/>
                <w:sz w:val="16"/>
                <w:szCs w:val="16"/>
                <w:lang w:eastAsia="es-CO"/>
                <w14:ligatures w14:val="none"/>
              </w:rPr>
              <w:t>4%</w:t>
            </w:r>
          </w:p>
        </w:tc>
      </w:tr>
      <w:tr w:rsidR="0021350F" w:rsidRPr="00923E21" w14:paraId="5543AD9F" w14:textId="77777777" w:rsidTr="0050A195">
        <w:trPr>
          <w:jc w:val="center"/>
        </w:trPr>
        <w:tc>
          <w:tcPr>
            <w:tcW w:w="4332" w:type="dxa"/>
          </w:tcPr>
          <w:p w14:paraId="24D2A721" w14:textId="290D841D" w:rsidR="0021350F" w:rsidRPr="00E5525F" w:rsidRDefault="0021350F" w:rsidP="00E5525F">
            <w:pPr>
              <w:spacing w:after="0" w:line="240" w:lineRule="auto"/>
              <w:jc w:val="both"/>
              <w:rPr>
                <w:rFonts w:ascii="Verdana" w:eastAsia="Times New Roman" w:hAnsi="Verdana" w:cs="Arial"/>
                <w:color w:val="000000"/>
                <w:kern w:val="0"/>
                <w:sz w:val="16"/>
                <w:szCs w:val="16"/>
                <w:lang w:eastAsia="es-CO"/>
                <w14:ligatures w14:val="none"/>
              </w:rPr>
            </w:pPr>
            <w:r w:rsidRPr="00E5525F">
              <w:rPr>
                <w:rFonts w:ascii="Verdana" w:eastAsia="Times New Roman" w:hAnsi="Verdana" w:cs="Arial"/>
                <w:color w:val="000000"/>
                <w:kern w:val="0"/>
                <w:sz w:val="16"/>
                <w:szCs w:val="16"/>
                <w:lang w:eastAsia="es-CO"/>
                <w14:ligatures w14:val="none"/>
              </w:rPr>
              <w:t xml:space="preserve">Participaciones en fondos de inversión colectiva abiertos sin pacto de permanencia que cumplan con los requisitos mínimos establecidos en el </w:t>
            </w:r>
            <w:r w:rsidR="009E7916">
              <w:rPr>
                <w:rFonts w:ascii="Verdana" w:eastAsia="Times New Roman" w:hAnsi="Verdana" w:cs="Arial"/>
                <w:color w:val="000000"/>
                <w:kern w:val="0"/>
                <w:sz w:val="16"/>
                <w:szCs w:val="16"/>
                <w:lang w:eastAsia="es-CO"/>
                <w14:ligatures w14:val="none"/>
              </w:rPr>
              <w:t xml:space="preserve">párrafo </w:t>
            </w:r>
            <w:r w:rsidR="00D61A99">
              <w:rPr>
                <w:rFonts w:ascii="Verdana" w:eastAsia="Times New Roman" w:hAnsi="Verdana" w:cs="Arial"/>
                <w:color w:val="000000"/>
                <w:kern w:val="0"/>
                <w:sz w:val="16"/>
                <w:szCs w:val="16"/>
                <w:lang w:eastAsia="es-CO"/>
                <w14:ligatures w14:val="none"/>
              </w:rPr>
              <w:t>2.4.3.77.</w:t>
            </w:r>
          </w:p>
        </w:tc>
        <w:tc>
          <w:tcPr>
            <w:tcW w:w="4877" w:type="dxa"/>
          </w:tcPr>
          <w:p w14:paraId="40627541" w14:textId="77777777" w:rsidR="0021350F" w:rsidRPr="00E5525F" w:rsidRDefault="0021350F" w:rsidP="00E5525F">
            <w:pPr>
              <w:spacing w:after="0" w:line="240" w:lineRule="auto"/>
              <w:jc w:val="center"/>
              <w:rPr>
                <w:rFonts w:ascii="Verdana" w:eastAsia="Times New Roman" w:hAnsi="Verdana" w:cs="Arial"/>
                <w:color w:val="000000"/>
                <w:kern w:val="0"/>
                <w:sz w:val="16"/>
                <w:szCs w:val="16"/>
                <w:lang w:eastAsia="es-CO"/>
                <w14:ligatures w14:val="none"/>
              </w:rPr>
            </w:pPr>
          </w:p>
          <w:p w14:paraId="1C391768" w14:textId="77777777" w:rsidR="0021350F" w:rsidRPr="00E5525F" w:rsidRDefault="0021350F" w:rsidP="00E5525F">
            <w:pPr>
              <w:spacing w:after="0" w:line="240" w:lineRule="auto"/>
              <w:jc w:val="center"/>
              <w:rPr>
                <w:rFonts w:ascii="Verdana" w:eastAsia="Times New Roman" w:hAnsi="Verdana" w:cs="Arial"/>
                <w:color w:val="000000"/>
                <w:kern w:val="0"/>
                <w:sz w:val="16"/>
                <w:szCs w:val="16"/>
                <w:lang w:eastAsia="es-CO"/>
                <w14:ligatures w14:val="none"/>
              </w:rPr>
            </w:pPr>
            <w:r w:rsidRPr="00E5525F">
              <w:rPr>
                <w:rFonts w:ascii="Verdana" w:eastAsia="Times New Roman" w:hAnsi="Verdana" w:cs="Arial"/>
                <w:color w:val="000000"/>
                <w:kern w:val="0"/>
                <w:sz w:val="16"/>
                <w:szCs w:val="16"/>
                <w:lang w:eastAsia="es-CO"/>
                <w14:ligatures w14:val="none"/>
              </w:rPr>
              <w:t>25%</w:t>
            </w:r>
          </w:p>
        </w:tc>
      </w:tr>
    </w:tbl>
    <w:p w14:paraId="2068997C" w14:textId="77777777" w:rsidR="0021350F" w:rsidRPr="00923E21" w:rsidRDefault="0021350F" w:rsidP="0021350F">
      <w:pPr>
        <w:jc w:val="both"/>
        <w:rPr>
          <w:rFonts w:ascii="Verdana" w:hAnsi="Verdana" w:cs="Arial"/>
          <w:sz w:val="20"/>
          <w:szCs w:val="20"/>
        </w:rPr>
      </w:pPr>
    </w:p>
    <w:p w14:paraId="6F7C2A3C" w14:textId="6A50DE72" w:rsidR="0021350F" w:rsidRPr="00C54FB2" w:rsidRDefault="0021350F" w:rsidP="00C54FB2">
      <w:pPr>
        <w:pStyle w:val="Prrafodelista"/>
        <w:numPr>
          <w:ilvl w:val="0"/>
          <w:numId w:val="28"/>
        </w:numPr>
        <w:spacing w:after="0" w:line="240" w:lineRule="auto"/>
        <w:ind w:left="851" w:hanging="284"/>
        <w:jc w:val="both"/>
        <w:rPr>
          <w:rFonts w:ascii="Verdana" w:hAnsi="Verdana" w:cs="Arial"/>
          <w:b/>
          <w:sz w:val="20"/>
          <w:szCs w:val="20"/>
        </w:rPr>
      </w:pPr>
      <w:r w:rsidRPr="00C54FB2">
        <w:rPr>
          <w:rFonts w:ascii="Verdana" w:hAnsi="Verdana" w:cs="Arial"/>
          <w:b/>
          <w:sz w:val="20"/>
          <w:szCs w:val="20"/>
        </w:rPr>
        <w:t>Participaciones en fondos de inversión colectiva</w:t>
      </w:r>
    </w:p>
    <w:p w14:paraId="398C257B" w14:textId="77777777" w:rsidR="00C54FB2" w:rsidRPr="00C54FB2" w:rsidRDefault="00C54FB2" w:rsidP="00C54FB2">
      <w:pPr>
        <w:spacing w:after="0" w:line="240" w:lineRule="auto"/>
        <w:jc w:val="both"/>
        <w:rPr>
          <w:rFonts w:ascii="Verdana" w:hAnsi="Verdana" w:cs="Arial"/>
          <w:b/>
          <w:sz w:val="20"/>
          <w:szCs w:val="20"/>
        </w:rPr>
      </w:pPr>
    </w:p>
    <w:p w14:paraId="7D9CCE85" w14:textId="052C8F2B" w:rsidR="003F0547" w:rsidRPr="00A2626A" w:rsidRDefault="003F0547" w:rsidP="003F054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7</w:t>
      </w:r>
      <w:r w:rsidR="003F2544">
        <w:rPr>
          <w:rFonts w:ascii="Verdana" w:hAnsi="Verdana" w:cs="Arial"/>
          <w:bCs/>
          <w:sz w:val="20"/>
          <w:szCs w:val="20"/>
        </w:rPr>
        <w:t>7</w:t>
      </w:r>
      <w:r w:rsidRPr="00A2626A">
        <w:rPr>
          <w:rFonts w:ascii="Verdana" w:hAnsi="Verdana" w:cs="Arial"/>
          <w:bCs/>
          <w:sz w:val="20"/>
          <w:szCs w:val="20"/>
        </w:rPr>
        <w:t>.</w:t>
      </w:r>
    </w:p>
    <w:p w14:paraId="08F0DAB4" w14:textId="77777777" w:rsidR="0010417B" w:rsidRDefault="0021350F" w:rsidP="0050A195">
      <w:pPr>
        <w:jc w:val="both"/>
        <w:rPr>
          <w:rFonts w:ascii="Verdana" w:hAnsi="Verdana" w:cs="Arial"/>
          <w:sz w:val="20"/>
          <w:szCs w:val="20"/>
        </w:rPr>
      </w:pPr>
      <w:r w:rsidRPr="0050A195">
        <w:rPr>
          <w:rFonts w:ascii="Verdana" w:hAnsi="Verdana" w:cs="Arial"/>
          <w:sz w:val="20"/>
          <w:szCs w:val="20"/>
        </w:rPr>
        <w:t>Las participaciones en fondos de inversión colectiva abiertos sin pacto de permanencia se considerarán como colateral financiero admisible para efectos de capital regulatorio, siempre que el respectivo vehículo cumpla con las siguientes condiciones:</w:t>
      </w:r>
    </w:p>
    <w:p w14:paraId="207429DD" w14:textId="77777777" w:rsidR="0010417B" w:rsidRDefault="0010417B" w:rsidP="0010417B">
      <w:pPr>
        <w:pStyle w:val="Prrafodelista"/>
        <w:numPr>
          <w:ilvl w:val="0"/>
          <w:numId w:val="29"/>
        </w:numPr>
        <w:ind w:left="567" w:hanging="567"/>
        <w:jc w:val="both"/>
        <w:rPr>
          <w:rFonts w:ascii="Verdana" w:hAnsi="Verdana" w:cs="Arial"/>
          <w:sz w:val="20"/>
          <w:szCs w:val="20"/>
        </w:rPr>
      </w:pPr>
      <w:r w:rsidRPr="0010417B">
        <w:rPr>
          <w:rFonts w:ascii="Verdana" w:hAnsi="Verdana" w:cs="Arial"/>
          <w:sz w:val="20"/>
          <w:szCs w:val="20"/>
        </w:rPr>
        <w:t>Q</w:t>
      </w:r>
      <w:r w:rsidR="0021350F" w:rsidRPr="0010417B">
        <w:rPr>
          <w:rFonts w:ascii="Verdana" w:hAnsi="Verdana" w:cs="Arial"/>
          <w:sz w:val="20"/>
          <w:szCs w:val="20"/>
        </w:rPr>
        <w:t>ue tenga perfil conservador o bajo riesgo definido en el reglamento respectivo</w:t>
      </w:r>
      <w:r>
        <w:rPr>
          <w:rFonts w:ascii="Verdana" w:hAnsi="Verdana" w:cs="Arial"/>
          <w:sz w:val="20"/>
          <w:szCs w:val="20"/>
        </w:rPr>
        <w:t>.</w:t>
      </w:r>
    </w:p>
    <w:p w14:paraId="2164596E" w14:textId="77777777" w:rsidR="0010417B" w:rsidRDefault="0010417B" w:rsidP="0010417B">
      <w:pPr>
        <w:pStyle w:val="Prrafodelista"/>
        <w:ind w:left="567"/>
        <w:jc w:val="both"/>
        <w:rPr>
          <w:rFonts w:ascii="Verdana" w:hAnsi="Verdana" w:cs="Arial"/>
          <w:sz w:val="20"/>
          <w:szCs w:val="20"/>
        </w:rPr>
      </w:pPr>
    </w:p>
    <w:p w14:paraId="5F123D3B" w14:textId="77777777" w:rsidR="0010417B" w:rsidRDefault="0010417B" w:rsidP="0010417B">
      <w:pPr>
        <w:pStyle w:val="Prrafodelista"/>
        <w:numPr>
          <w:ilvl w:val="0"/>
          <w:numId w:val="29"/>
        </w:numPr>
        <w:ind w:left="567" w:hanging="567"/>
        <w:jc w:val="both"/>
        <w:rPr>
          <w:rFonts w:ascii="Verdana" w:hAnsi="Verdana" w:cs="Arial"/>
          <w:sz w:val="20"/>
          <w:szCs w:val="20"/>
        </w:rPr>
      </w:pPr>
      <w:r>
        <w:rPr>
          <w:rFonts w:ascii="Verdana" w:hAnsi="Verdana" w:cs="Arial"/>
          <w:sz w:val="20"/>
          <w:szCs w:val="20"/>
        </w:rPr>
        <w:t>Q</w:t>
      </w:r>
      <w:r w:rsidR="0021350F" w:rsidRPr="0010417B">
        <w:rPr>
          <w:rFonts w:ascii="Verdana" w:hAnsi="Verdana" w:cs="Arial"/>
          <w:sz w:val="20"/>
          <w:szCs w:val="20"/>
        </w:rPr>
        <w:t>ue su política de inversión contemple una participación que represente una mayoría significativa del fondo en efectivo y/o valores de renta fija de corta duración de emisores nacionales, inscritos en el RNVE, y calificados como mínimo con grado de inversión, salvo los títulos de deuda pública emitidos o garantizados por la Nación, por el Banco de la República o por el Fondo de Garantías de Instituciones Financieras (Fogafin), los cuales no requerirán calificación</w:t>
      </w:r>
      <w:r>
        <w:rPr>
          <w:rFonts w:ascii="Verdana" w:hAnsi="Verdana" w:cs="Arial"/>
          <w:sz w:val="20"/>
          <w:szCs w:val="20"/>
        </w:rPr>
        <w:t xml:space="preserve">. </w:t>
      </w:r>
    </w:p>
    <w:p w14:paraId="59C3E1B0" w14:textId="77777777" w:rsidR="0010417B" w:rsidRPr="0010417B" w:rsidRDefault="0010417B" w:rsidP="0010417B">
      <w:pPr>
        <w:pStyle w:val="Prrafodelista"/>
        <w:rPr>
          <w:rFonts w:ascii="Verdana" w:hAnsi="Verdana" w:cs="Arial"/>
          <w:sz w:val="20"/>
          <w:szCs w:val="20"/>
        </w:rPr>
      </w:pPr>
    </w:p>
    <w:p w14:paraId="2836AF64" w14:textId="77777777" w:rsidR="0010417B" w:rsidRDefault="0010417B" w:rsidP="0010417B">
      <w:pPr>
        <w:pStyle w:val="Prrafodelista"/>
        <w:numPr>
          <w:ilvl w:val="0"/>
          <w:numId w:val="29"/>
        </w:numPr>
        <w:ind w:left="567" w:hanging="567"/>
        <w:jc w:val="both"/>
        <w:rPr>
          <w:rFonts w:ascii="Verdana" w:hAnsi="Verdana" w:cs="Arial"/>
          <w:sz w:val="20"/>
          <w:szCs w:val="20"/>
        </w:rPr>
      </w:pPr>
      <w:r>
        <w:rPr>
          <w:rFonts w:ascii="Verdana" w:hAnsi="Verdana" w:cs="Arial"/>
          <w:sz w:val="20"/>
          <w:szCs w:val="20"/>
        </w:rPr>
        <w:t>Q</w:t>
      </w:r>
      <w:r w:rsidR="0021350F" w:rsidRPr="0010417B">
        <w:rPr>
          <w:rFonts w:ascii="Verdana" w:hAnsi="Verdana" w:cs="Arial"/>
          <w:sz w:val="20"/>
          <w:szCs w:val="20"/>
        </w:rPr>
        <w:t>ue no realice operaciones de naturaleza apalancada</w:t>
      </w:r>
      <w:r>
        <w:rPr>
          <w:rFonts w:ascii="Verdana" w:hAnsi="Verdana" w:cs="Arial"/>
          <w:sz w:val="20"/>
          <w:szCs w:val="20"/>
        </w:rPr>
        <w:t>.</w:t>
      </w:r>
    </w:p>
    <w:p w14:paraId="54F34A85" w14:textId="77777777" w:rsidR="0010417B" w:rsidRPr="0010417B" w:rsidRDefault="0010417B" w:rsidP="0010417B">
      <w:pPr>
        <w:pStyle w:val="Prrafodelista"/>
        <w:rPr>
          <w:rFonts w:ascii="Verdana" w:hAnsi="Verdana" w:cs="Arial"/>
          <w:sz w:val="20"/>
          <w:szCs w:val="20"/>
        </w:rPr>
      </w:pPr>
    </w:p>
    <w:p w14:paraId="734C1A15" w14:textId="77777777" w:rsidR="0010417B" w:rsidRDefault="0010417B" w:rsidP="0010417B">
      <w:pPr>
        <w:pStyle w:val="Prrafodelista"/>
        <w:numPr>
          <w:ilvl w:val="0"/>
          <w:numId w:val="29"/>
        </w:numPr>
        <w:ind w:left="567" w:hanging="567"/>
        <w:jc w:val="both"/>
        <w:rPr>
          <w:rFonts w:ascii="Verdana" w:hAnsi="Verdana" w:cs="Arial"/>
          <w:sz w:val="20"/>
          <w:szCs w:val="20"/>
        </w:rPr>
      </w:pPr>
      <w:r>
        <w:rPr>
          <w:rFonts w:ascii="Verdana" w:hAnsi="Verdana" w:cs="Arial"/>
          <w:sz w:val="20"/>
          <w:szCs w:val="20"/>
        </w:rPr>
        <w:t>Q</w:t>
      </w:r>
      <w:r w:rsidR="0021350F" w:rsidRPr="0010417B">
        <w:rPr>
          <w:rFonts w:ascii="Verdana" w:hAnsi="Verdana" w:cs="Arial"/>
          <w:sz w:val="20"/>
          <w:szCs w:val="20"/>
        </w:rPr>
        <w:t>ue el reglamento contemple que la redención de participaciones se hará a más tardar al día hábil siguiente a la solicitud</w:t>
      </w:r>
      <w:r>
        <w:rPr>
          <w:rFonts w:ascii="Verdana" w:hAnsi="Verdana" w:cs="Arial"/>
          <w:sz w:val="20"/>
          <w:szCs w:val="20"/>
        </w:rPr>
        <w:t>.</w:t>
      </w:r>
      <w:r w:rsidR="00EF0A1F" w:rsidRPr="0010417B">
        <w:rPr>
          <w:rFonts w:ascii="Verdana" w:hAnsi="Verdana" w:cs="Arial"/>
          <w:sz w:val="20"/>
          <w:szCs w:val="20"/>
        </w:rPr>
        <w:t xml:space="preserve"> </w:t>
      </w:r>
    </w:p>
    <w:p w14:paraId="49919968" w14:textId="77777777" w:rsidR="0010417B" w:rsidRPr="0010417B" w:rsidRDefault="0010417B" w:rsidP="0010417B">
      <w:pPr>
        <w:pStyle w:val="Prrafodelista"/>
        <w:rPr>
          <w:rFonts w:ascii="Verdana" w:hAnsi="Verdana" w:cs="Arial"/>
          <w:sz w:val="20"/>
          <w:szCs w:val="20"/>
        </w:rPr>
      </w:pPr>
    </w:p>
    <w:p w14:paraId="7347672C" w14:textId="50E466C9" w:rsidR="0010417B" w:rsidRPr="009E7916" w:rsidRDefault="0010417B" w:rsidP="009E7916">
      <w:pPr>
        <w:pStyle w:val="Prrafodelista"/>
        <w:numPr>
          <w:ilvl w:val="0"/>
          <w:numId w:val="29"/>
        </w:numPr>
        <w:ind w:left="567" w:hanging="567"/>
        <w:jc w:val="both"/>
        <w:rPr>
          <w:rFonts w:ascii="Verdana" w:hAnsi="Verdana" w:cs="Arial"/>
          <w:sz w:val="20"/>
          <w:szCs w:val="20"/>
        </w:rPr>
      </w:pPr>
      <w:r>
        <w:rPr>
          <w:rFonts w:ascii="Verdana" w:hAnsi="Verdana" w:cs="Arial"/>
          <w:sz w:val="20"/>
          <w:szCs w:val="20"/>
        </w:rPr>
        <w:t>Q</w:t>
      </w:r>
      <w:r w:rsidR="0021350F" w:rsidRPr="0010417B">
        <w:rPr>
          <w:rFonts w:ascii="Verdana" w:hAnsi="Verdana" w:cs="Arial"/>
          <w:sz w:val="20"/>
          <w:szCs w:val="20"/>
        </w:rPr>
        <w:t>ue las participaciones entregadas en garantía a una misma parte no superen el 5% del valor neto del fondo.</w:t>
      </w:r>
    </w:p>
    <w:p w14:paraId="467435F9" w14:textId="77777777" w:rsidR="0010417B" w:rsidRPr="0010417B" w:rsidRDefault="0010417B" w:rsidP="0010417B">
      <w:pPr>
        <w:pStyle w:val="Prrafodelista"/>
        <w:ind w:left="567"/>
        <w:jc w:val="both"/>
        <w:rPr>
          <w:rFonts w:ascii="Verdana" w:hAnsi="Verdana" w:cs="Arial"/>
          <w:sz w:val="20"/>
          <w:szCs w:val="20"/>
        </w:rPr>
      </w:pPr>
    </w:p>
    <w:p w14:paraId="4BFCD8CD" w14:textId="2A43A4E6" w:rsidR="0021350F" w:rsidRPr="00C54FB2" w:rsidRDefault="0021350F" w:rsidP="00C54FB2">
      <w:pPr>
        <w:pStyle w:val="Prrafodelista"/>
        <w:numPr>
          <w:ilvl w:val="0"/>
          <w:numId w:val="27"/>
        </w:numPr>
        <w:ind w:left="567" w:hanging="283"/>
        <w:jc w:val="both"/>
        <w:rPr>
          <w:rFonts w:ascii="Verdana" w:hAnsi="Verdana" w:cs="Arial"/>
          <w:b/>
          <w:bCs/>
          <w:sz w:val="20"/>
          <w:szCs w:val="20"/>
        </w:rPr>
      </w:pPr>
      <w:r w:rsidRPr="00C54FB2">
        <w:rPr>
          <w:rFonts w:ascii="Verdana" w:hAnsi="Verdana" w:cs="Arial"/>
          <w:b/>
          <w:bCs/>
          <w:sz w:val="20"/>
          <w:szCs w:val="20"/>
        </w:rPr>
        <w:t>Colateral financiero admisible</w:t>
      </w:r>
      <w:r w:rsidRPr="00C54FB2">
        <w:rPr>
          <w:rFonts w:ascii="Verdana" w:hAnsi="Verdana" w:cs="Arial"/>
          <w:b/>
          <w:sz w:val="20"/>
          <w:szCs w:val="20"/>
        </w:rPr>
        <w:t xml:space="preserve"> de las subordinadas en el exterior</w:t>
      </w:r>
    </w:p>
    <w:p w14:paraId="4F07A9E3" w14:textId="70543A44" w:rsidR="00EB4997" w:rsidRPr="00A2626A" w:rsidRDefault="00EB4997" w:rsidP="00EB49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7</w:t>
      </w:r>
      <w:r w:rsidR="003F2544">
        <w:rPr>
          <w:rFonts w:ascii="Verdana" w:hAnsi="Verdana" w:cs="Arial"/>
          <w:bCs/>
          <w:sz w:val="20"/>
          <w:szCs w:val="20"/>
        </w:rPr>
        <w:t>8</w:t>
      </w:r>
      <w:r w:rsidRPr="00A2626A">
        <w:rPr>
          <w:rFonts w:ascii="Verdana" w:hAnsi="Verdana" w:cs="Arial"/>
          <w:bCs/>
          <w:sz w:val="20"/>
          <w:szCs w:val="20"/>
        </w:rPr>
        <w:t>.</w:t>
      </w:r>
    </w:p>
    <w:p w14:paraId="793AC3AE" w14:textId="59C3B72B" w:rsidR="0021350F" w:rsidRDefault="0021350F" w:rsidP="0021350F">
      <w:pPr>
        <w:jc w:val="both"/>
        <w:rPr>
          <w:rFonts w:ascii="Verdana" w:hAnsi="Verdana" w:cs="Arial"/>
          <w:sz w:val="20"/>
          <w:szCs w:val="20"/>
        </w:rPr>
      </w:pPr>
      <w:r w:rsidRPr="00923E21">
        <w:rPr>
          <w:rFonts w:ascii="Verdana" w:hAnsi="Verdana" w:cs="Arial"/>
          <w:sz w:val="20"/>
          <w:szCs w:val="20"/>
        </w:rPr>
        <w:t>Las entidades vigiladas podrán ajustar la exposición por riesgo de los activos de las subordinadas en el exterior con el valor de los colaterales financieros admisibles, siempre que tales colaterales sean valorados diariamente al valor razonable con cambios en resultados (a precios de mercado), reposición diaria de márgenes y un periodo de mantenimiento máximo de 10 días hábiles. A continuación, se detallan los colaterales financieros admisibles:</w:t>
      </w:r>
    </w:p>
    <w:p w14:paraId="1ADC6DD3" w14:textId="77777777" w:rsidR="009E7916" w:rsidRDefault="009E7916" w:rsidP="0021350F">
      <w:pPr>
        <w:jc w:val="both"/>
        <w:rPr>
          <w:rFonts w:ascii="Verdana" w:hAnsi="Verdana" w:cs="Arial"/>
          <w:sz w:val="20"/>
          <w:szCs w:val="20"/>
        </w:rPr>
      </w:pPr>
    </w:p>
    <w:p w14:paraId="368E6F64" w14:textId="77777777" w:rsidR="009E7916" w:rsidRDefault="009E7916" w:rsidP="0021350F">
      <w:pPr>
        <w:jc w:val="both"/>
        <w:rPr>
          <w:rFonts w:ascii="Verdana" w:hAnsi="Verdana" w:cs="Arial"/>
          <w:sz w:val="20"/>
          <w:szCs w:val="20"/>
        </w:rPr>
      </w:pPr>
    </w:p>
    <w:p w14:paraId="64A24974" w14:textId="77777777" w:rsidR="009E7916" w:rsidRPr="00923E21" w:rsidRDefault="009E7916" w:rsidP="0021350F">
      <w:pPr>
        <w:jc w:val="both"/>
        <w:rPr>
          <w:rFonts w:ascii="Verdana" w:hAnsi="Verdana" w:cs="Arial"/>
          <w:sz w:val="20"/>
          <w:szCs w:val="20"/>
        </w:rPr>
      </w:pPr>
    </w:p>
    <w:tbl>
      <w:tblPr>
        <w:tblW w:w="89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2524"/>
        <w:gridCol w:w="2920"/>
      </w:tblGrid>
      <w:tr w:rsidR="0021350F" w:rsidRPr="0010417B" w14:paraId="271DB062" w14:textId="77777777" w:rsidTr="0010417B">
        <w:trPr>
          <w:trHeight w:val="300"/>
        </w:trPr>
        <w:tc>
          <w:tcPr>
            <w:tcW w:w="3544" w:type="dxa"/>
            <w:shd w:val="clear" w:color="auto" w:fill="D1D1D1" w:themeFill="background2" w:themeFillShade="E6"/>
            <w:noWrap/>
            <w:vAlign w:val="center"/>
            <w:hideMark/>
          </w:tcPr>
          <w:p w14:paraId="5E71D548" w14:textId="77777777" w:rsidR="0021350F" w:rsidRPr="0010417B" w:rsidRDefault="0021350F" w:rsidP="0010417B">
            <w:pPr>
              <w:spacing w:after="0" w:line="240" w:lineRule="auto"/>
              <w:jc w:val="center"/>
              <w:rPr>
                <w:rFonts w:ascii="Verdana" w:eastAsia="Times New Roman" w:hAnsi="Verdana" w:cs="Arial"/>
                <w:b/>
                <w:bCs/>
                <w:color w:val="000000"/>
                <w:kern w:val="0"/>
                <w:sz w:val="16"/>
                <w:szCs w:val="16"/>
                <w:lang w:eastAsia="es-CO"/>
                <w14:ligatures w14:val="none"/>
              </w:rPr>
            </w:pPr>
            <w:r w:rsidRPr="0010417B">
              <w:rPr>
                <w:rFonts w:ascii="Verdana" w:eastAsia="Times New Roman" w:hAnsi="Verdana" w:cs="Arial"/>
                <w:b/>
                <w:bCs/>
                <w:color w:val="000000"/>
                <w:kern w:val="0"/>
                <w:sz w:val="16"/>
                <w:szCs w:val="16"/>
                <w:lang w:eastAsia="es-CO"/>
                <w14:ligatures w14:val="none"/>
              </w:rPr>
              <w:lastRenderedPageBreak/>
              <w:t>Colateral financiero admisible</w:t>
            </w:r>
          </w:p>
        </w:tc>
        <w:tc>
          <w:tcPr>
            <w:tcW w:w="2524" w:type="dxa"/>
            <w:shd w:val="clear" w:color="auto" w:fill="D1D1D1" w:themeFill="background2" w:themeFillShade="E6"/>
            <w:noWrap/>
            <w:vAlign w:val="center"/>
            <w:hideMark/>
          </w:tcPr>
          <w:p w14:paraId="50101AB9" w14:textId="77777777" w:rsidR="0021350F" w:rsidRPr="0010417B" w:rsidRDefault="0021350F" w:rsidP="0010417B">
            <w:pPr>
              <w:spacing w:after="0" w:line="240" w:lineRule="auto"/>
              <w:jc w:val="center"/>
              <w:rPr>
                <w:rFonts w:ascii="Verdana" w:eastAsia="Times New Roman" w:hAnsi="Verdana" w:cs="Arial"/>
                <w:b/>
                <w:bCs/>
                <w:color w:val="000000"/>
                <w:kern w:val="0"/>
                <w:sz w:val="16"/>
                <w:szCs w:val="16"/>
                <w:lang w:eastAsia="es-CO"/>
                <w14:ligatures w14:val="none"/>
              </w:rPr>
            </w:pPr>
            <w:r w:rsidRPr="0010417B">
              <w:rPr>
                <w:rFonts w:ascii="Verdana" w:eastAsia="Times New Roman" w:hAnsi="Verdana" w:cs="Arial"/>
                <w:b/>
                <w:bCs/>
                <w:color w:val="000000"/>
                <w:kern w:val="0"/>
                <w:sz w:val="16"/>
                <w:szCs w:val="16"/>
                <w:lang w:eastAsia="es-CO"/>
                <w14:ligatures w14:val="none"/>
              </w:rPr>
              <w:t>Vencimiento Residual</w:t>
            </w:r>
          </w:p>
        </w:tc>
        <w:tc>
          <w:tcPr>
            <w:tcW w:w="2920" w:type="dxa"/>
            <w:shd w:val="clear" w:color="auto" w:fill="D1D1D1" w:themeFill="background2" w:themeFillShade="E6"/>
            <w:noWrap/>
            <w:vAlign w:val="center"/>
            <w:hideMark/>
          </w:tcPr>
          <w:p w14:paraId="14DE16CF" w14:textId="77777777" w:rsidR="0021350F" w:rsidRPr="0010417B" w:rsidRDefault="0021350F" w:rsidP="0010417B">
            <w:pPr>
              <w:spacing w:after="0" w:line="240" w:lineRule="auto"/>
              <w:jc w:val="center"/>
              <w:rPr>
                <w:rFonts w:ascii="Verdana" w:eastAsia="Times New Roman" w:hAnsi="Verdana" w:cs="Arial"/>
                <w:b/>
                <w:bCs/>
                <w:color w:val="000000"/>
                <w:kern w:val="0"/>
                <w:sz w:val="16"/>
                <w:szCs w:val="16"/>
                <w:lang w:eastAsia="es-CO"/>
                <w14:ligatures w14:val="none"/>
              </w:rPr>
            </w:pPr>
            <w:r w:rsidRPr="0010417B">
              <w:rPr>
                <w:rFonts w:ascii="Verdana" w:eastAsia="Times New Roman" w:hAnsi="Verdana" w:cs="Arial"/>
                <w:b/>
                <w:bCs/>
                <w:color w:val="000000"/>
                <w:kern w:val="0"/>
                <w:sz w:val="16"/>
                <w:szCs w:val="16"/>
                <w:lang w:eastAsia="es-CO"/>
                <w14:ligatures w14:val="none"/>
              </w:rPr>
              <w:t>Fg</w:t>
            </w:r>
          </w:p>
        </w:tc>
      </w:tr>
      <w:tr w:rsidR="0021350F" w:rsidRPr="0010417B" w14:paraId="6805A3F2" w14:textId="77777777" w:rsidTr="0010417B">
        <w:trPr>
          <w:trHeight w:val="300"/>
        </w:trPr>
        <w:tc>
          <w:tcPr>
            <w:tcW w:w="6068" w:type="dxa"/>
            <w:gridSpan w:val="2"/>
            <w:vAlign w:val="center"/>
            <w:hideMark/>
          </w:tcPr>
          <w:p w14:paraId="39046762"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Efectivo en pesos o divisas</w:t>
            </w:r>
          </w:p>
        </w:tc>
        <w:tc>
          <w:tcPr>
            <w:tcW w:w="2920" w:type="dxa"/>
            <w:noWrap/>
            <w:vAlign w:val="bottom"/>
            <w:hideMark/>
          </w:tcPr>
          <w:p w14:paraId="78FEF4E3" w14:textId="77777777" w:rsidR="0021350F" w:rsidRPr="0010417B" w:rsidRDefault="0021350F" w:rsidP="00026C9F">
            <w:pPr>
              <w:spacing w:after="0" w:line="240" w:lineRule="auto"/>
              <w:jc w:val="center"/>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0%</w:t>
            </w:r>
          </w:p>
        </w:tc>
      </w:tr>
      <w:tr w:rsidR="0021350F" w:rsidRPr="0010417B" w14:paraId="251ACF0F" w14:textId="77777777" w:rsidTr="0010417B">
        <w:trPr>
          <w:trHeight w:val="300"/>
        </w:trPr>
        <w:tc>
          <w:tcPr>
            <w:tcW w:w="3544" w:type="dxa"/>
            <w:vMerge w:val="restart"/>
            <w:noWrap/>
            <w:vAlign w:val="center"/>
            <w:hideMark/>
          </w:tcPr>
          <w:p w14:paraId="3B6F61F1"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 xml:space="preserve">Soberanos de la jurisdicción de origen </w:t>
            </w:r>
          </w:p>
        </w:tc>
        <w:tc>
          <w:tcPr>
            <w:tcW w:w="2524" w:type="dxa"/>
            <w:noWrap/>
            <w:vAlign w:val="bottom"/>
            <w:hideMark/>
          </w:tcPr>
          <w:p w14:paraId="3B0D2B06"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 xml:space="preserve">≤ 1 año </w:t>
            </w:r>
          </w:p>
        </w:tc>
        <w:tc>
          <w:tcPr>
            <w:tcW w:w="2920" w:type="dxa"/>
            <w:noWrap/>
            <w:vAlign w:val="center"/>
            <w:hideMark/>
          </w:tcPr>
          <w:p w14:paraId="0338622B" w14:textId="77777777" w:rsidR="0021350F" w:rsidRPr="0010417B" w:rsidRDefault="0021350F" w:rsidP="00026C9F">
            <w:pPr>
              <w:spacing w:after="0" w:line="240" w:lineRule="auto"/>
              <w:jc w:val="center"/>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0.50%</w:t>
            </w:r>
          </w:p>
        </w:tc>
      </w:tr>
      <w:tr w:rsidR="0021350F" w:rsidRPr="0010417B" w14:paraId="37F18F23" w14:textId="77777777" w:rsidTr="0010417B">
        <w:trPr>
          <w:trHeight w:val="300"/>
        </w:trPr>
        <w:tc>
          <w:tcPr>
            <w:tcW w:w="3544" w:type="dxa"/>
            <w:vMerge/>
            <w:vAlign w:val="center"/>
            <w:hideMark/>
          </w:tcPr>
          <w:p w14:paraId="10863837"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p>
        </w:tc>
        <w:tc>
          <w:tcPr>
            <w:tcW w:w="2524" w:type="dxa"/>
            <w:noWrap/>
            <w:vAlign w:val="bottom"/>
            <w:hideMark/>
          </w:tcPr>
          <w:p w14:paraId="08273E38"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&gt; 1 años, ≤ 3 años</w:t>
            </w:r>
          </w:p>
        </w:tc>
        <w:tc>
          <w:tcPr>
            <w:tcW w:w="2920" w:type="dxa"/>
            <w:vMerge w:val="restart"/>
            <w:noWrap/>
            <w:vAlign w:val="center"/>
            <w:hideMark/>
          </w:tcPr>
          <w:p w14:paraId="648AB293" w14:textId="77777777" w:rsidR="0021350F" w:rsidRPr="0010417B" w:rsidRDefault="0021350F" w:rsidP="00026C9F">
            <w:pPr>
              <w:spacing w:after="0" w:line="240" w:lineRule="auto"/>
              <w:jc w:val="center"/>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2%</w:t>
            </w:r>
          </w:p>
        </w:tc>
      </w:tr>
      <w:tr w:rsidR="0021350F" w:rsidRPr="0010417B" w14:paraId="2AF8AD81" w14:textId="77777777" w:rsidTr="0010417B">
        <w:trPr>
          <w:trHeight w:val="300"/>
        </w:trPr>
        <w:tc>
          <w:tcPr>
            <w:tcW w:w="3544" w:type="dxa"/>
            <w:vMerge/>
            <w:vAlign w:val="center"/>
            <w:hideMark/>
          </w:tcPr>
          <w:p w14:paraId="490D1478"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p>
        </w:tc>
        <w:tc>
          <w:tcPr>
            <w:tcW w:w="2524" w:type="dxa"/>
            <w:noWrap/>
            <w:vAlign w:val="bottom"/>
            <w:hideMark/>
          </w:tcPr>
          <w:p w14:paraId="15D728DF"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&gt; 3 años, ≤ 5 años</w:t>
            </w:r>
          </w:p>
        </w:tc>
        <w:tc>
          <w:tcPr>
            <w:tcW w:w="2920" w:type="dxa"/>
            <w:vMerge/>
            <w:vAlign w:val="center"/>
            <w:hideMark/>
          </w:tcPr>
          <w:p w14:paraId="7A47AE5A" w14:textId="77777777" w:rsidR="0021350F" w:rsidRPr="0010417B" w:rsidRDefault="0021350F" w:rsidP="0004438A">
            <w:pPr>
              <w:spacing w:after="0" w:line="240" w:lineRule="auto"/>
              <w:jc w:val="center"/>
              <w:rPr>
                <w:rFonts w:ascii="Verdana" w:eastAsia="Times New Roman" w:hAnsi="Verdana" w:cs="Arial"/>
                <w:color w:val="000000"/>
                <w:kern w:val="0"/>
                <w:sz w:val="16"/>
                <w:szCs w:val="16"/>
                <w:lang w:eastAsia="es-CO"/>
                <w14:ligatures w14:val="none"/>
              </w:rPr>
            </w:pPr>
          </w:p>
        </w:tc>
      </w:tr>
      <w:tr w:rsidR="0021350F" w:rsidRPr="0010417B" w14:paraId="4B28A41B" w14:textId="77777777" w:rsidTr="0010417B">
        <w:trPr>
          <w:trHeight w:val="300"/>
        </w:trPr>
        <w:tc>
          <w:tcPr>
            <w:tcW w:w="3544" w:type="dxa"/>
            <w:vMerge/>
            <w:vAlign w:val="center"/>
            <w:hideMark/>
          </w:tcPr>
          <w:p w14:paraId="2124FC9D"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p>
        </w:tc>
        <w:tc>
          <w:tcPr>
            <w:tcW w:w="2524" w:type="dxa"/>
            <w:noWrap/>
            <w:vAlign w:val="bottom"/>
            <w:hideMark/>
          </w:tcPr>
          <w:p w14:paraId="22FBE934"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&gt; 5 años, ≤ 10 años</w:t>
            </w:r>
          </w:p>
        </w:tc>
        <w:tc>
          <w:tcPr>
            <w:tcW w:w="2920" w:type="dxa"/>
            <w:vMerge w:val="restart"/>
            <w:noWrap/>
            <w:vAlign w:val="center"/>
            <w:hideMark/>
          </w:tcPr>
          <w:p w14:paraId="352E4563" w14:textId="77777777" w:rsidR="0021350F" w:rsidRPr="0010417B" w:rsidRDefault="0021350F" w:rsidP="00026C9F">
            <w:pPr>
              <w:spacing w:after="0" w:line="240" w:lineRule="auto"/>
              <w:jc w:val="center"/>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4%</w:t>
            </w:r>
          </w:p>
        </w:tc>
      </w:tr>
      <w:tr w:rsidR="0021350F" w:rsidRPr="0010417B" w14:paraId="4850224B" w14:textId="77777777" w:rsidTr="0010417B">
        <w:trPr>
          <w:trHeight w:val="300"/>
        </w:trPr>
        <w:tc>
          <w:tcPr>
            <w:tcW w:w="3544" w:type="dxa"/>
            <w:vMerge/>
            <w:vAlign w:val="center"/>
            <w:hideMark/>
          </w:tcPr>
          <w:p w14:paraId="712C8209"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p>
        </w:tc>
        <w:tc>
          <w:tcPr>
            <w:tcW w:w="2524" w:type="dxa"/>
            <w:noWrap/>
            <w:vAlign w:val="bottom"/>
            <w:hideMark/>
          </w:tcPr>
          <w:p w14:paraId="5385987E"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r w:rsidRPr="0010417B">
              <w:rPr>
                <w:rFonts w:ascii="Verdana" w:eastAsia="Times New Roman" w:hAnsi="Verdana" w:cs="Arial"/>
                <w:color w:val="000000"/>
                <w:kern w:val="0"/>
                <w:sz w:val="16"/>
                <w:szCs w:val="16"/>
                <w:lang w:eastAsia="es-CO"/>
                <w14:ligatures w14:val="none"/>
              </w:rPr>
              <w:t>&gt;10 años</w:t>
            </w:r>
          </w:p>
        </w:tc>
        <w:tc>
          <w:tcPr>
            <w:tcW w:w="2920" w:type="dxa"/>
            <w:vMerge/>
            <w:vAlign w:val="center"/>
            <w:hideMark/>
          </w:tcPr>
          <w:p w14:paraId="4737F21D"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p>
        </w:tc>
      </w:tr>
    </w:tbl>
    <w:p w14:paraId="45407655" w14:textId="77777777" w:rsidR="0021350F" w:rsidRPr="0010417B" w:rsidRDefault="0021350F" w:rsidP="0010417B">
      <w:pPr>
        <w:spacing w:after="0" w:line="240" w:lineRule="auto"/>
        <w:jc w:val="both"/>
        <w:rPr>
          <w:rFonts w:ascii="Verdana" w:eastAsia="Times New Roman" w:hAnsi="Verdana" w:cs="Arial"/>
          <w:color w:val="000000"/>
          <w:kern w:val="0"/>
          <w:sz w:val="16"/>
          <w:szCs w:val="16"/>
          <w:lang w:eastAsia="es-CO"/>
          <w14:ligatures w14:val="none"/>
        </w:rPr>
      </w:pPr>
    </w:p>
    <w:p w14:paraId="5508619C" w14:textId="213CBEB9" w:rsidR="0021350F" w:rsidRPr="0010417B" w:rsidRDefault="0021350F" w:rsidP="0010417B">
      <w:pPr>
        <w:pStyle w:val="Prrafodelista"/>
        <w:numPr>
          <w:ilvl w:val="0"/>
          <w:numId w:val="21"/>
        </w:numPr>
        <w:ind w:left="284" w:hanging="284"/>
        <w:jc w:val="both"/>
        <w:outlineLvl w:val="2"/>
        <w:rPr>
          <w:rFonts w:ascii="Verdana" w:hAnsi="Verdana" w:cs="Arial"/>
          <w:b/>
          <w:bCs/>
          <w:sz w:val="20"/>
          <w:szCs w:val="20"/>
        </w:rPr>
      </w:pPr>
      <w:r w:rsidRPr="0010417B">
        <w:rPr>
          <w:rFonts w:ascii="Verdana" w:hAnsi="Verdana" w:cs="Arial"/>
          <w:b/>
          <w:bCs/>
          <w:sz w:val="20"/>
          <w:szCs w:val="20"/>
        </w:rPr>
        <w:t>Factor de ajuste cambiario (Fc)</w:t>
      </w:r>
    </w:p>
    <w:p w14:paraId="0FA25856" w14:textId="0A7052E0" w:rsidR="00EB4997" w:rsidRPr="00A2626A" w:rsidRDefault="00EB4997" w:rsidP="00EB49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7</w:t>
      </w:r>
      <w:r w:rsidR="003F2544">
        <w:rPr>
          <w:rFonts w:ascii="Verdana" w:hAnsi="Verdana" w:cs="Arial"/>
          <w:bCs/>
          <w:sz w:val="20"/>
          <w:szCs w:val="20"/>
        </w:rPr>
        <w:t>9</w:t>
      </w:r>
      <w:r w:rsidRPr="00A2626A">
        <w:rPr>
          <w:rFonts w:ascii="Verdana" w:hAnsi="Verdana" w:cs="Arial"/>
          <w:bCs/>
          <w:sz w:val="20"/>
          <w:szCs w:val="20"/>
        </w:rPr>
        <w:t>.</w:t>
      </w:r>
    </w:p>
    <w:p w14:paraId="252B5F7E" w14:textId="6DB856E9" w:rsidR="0021350F" w:rsidRPr="00923E21" w:rsidRDefault="0021350F" w:rsidP="0010417B">
      <w:pPr>
        <w:autoSpaceDE w:val="0"/>
        <w:autoSpaceDN w:val="0"/>
        <w:adjustRightInd w:val="0"/>
        <w:jc w:val="both"/>
        <w:rPr>
          <w:rFonts w:ascii="Verdana" w:hAnsi="Verdana" w:cs="Arial"/>
          <w:sz w:val="20"/>
          <w:szCs w:val="20"/>
        </w:rPr>
      </w:pPr>
      <w:r w:rsidRPr="0050A195">
        <w:rPr>
          <w:rFonts w:ascii="Verdana" w:hAnsi="Verdana" w:cs="Arial"/>
          <w:sz w:val="20"/>
          <w:szCs w:val="20"/>
        </w:rPr>
        <w:t xml:space="preserve">Cuando la exposición y el colateral </w:t>
      </w:r>
      <w:r w:rsidRPr="007D1434">
        <w:rPr>
          <w:rFonts w:ascii="Verdana" w:hAnsi="Verdana" w:cs="Arial"/>
          <w:sz w:val="20"/>
          <w:szCs w:val="20"/>
        </w:rPr>
        <w:t xml:space="preserve">financiero admisible (definidos </w:t>
      </w:r>
      <w:r w:rsidR="00DA1AE0" w:rsidRPr="007D1434">
        <w:rPr>
          <w:rFonts w:ascii="Verdana" w:hAnsi="Verdana" w:cs="Arial"/>
          <w:sz w:val="20"/>
          <w:szCs w:val="20"/>
        </w:rPr>
        <w:t>entre los párrafos 2.4.3.</w:t>
      </w:r>
      <w:r w:rsidR="007D1434" w:rsidRPr="007D1434">
        <w:rPr>
          <w:rFonts w:ascii="Verdana" w:hAnsi="Verdana" w:cs="Arial"/>
          <w:sz w:val="20"/>
          <w:szCs w:val="20"/>
        </w:rPr>
        <w:t>73. y 2.4.3.78.</w:t>
      </w:r>
      <w:r w:rsidRPr="007D1434">
        <w:rPr>
          <w:rFonts w:ascii="Verdana" w:hAnsi="Verdana" w:cs="Arial"/>
          <w:sz w:val="20"/>
          <w:szCs w:val="20"/>
        </w:rPr>
        <w:t>) se encuentren de</w:t>
      </w:r>
      <w:r w:rsidRPr="0050A195">
        <w:rPr>
          <w:rFonts w:ascii="Verdana" w:hAnsi="Verdana" w:cs="Arial"/>
          <w:sz w:val="20"/>
          <w:szCs w:val="20"/>
        </w:rPr>
        <w:t>nominados en monedas diferentes, el Fc será del 8%; lo anterior, sobre la base de un periodo de mantenimiento máximo de 10 días hábiles y valoración diaria del activo a precios de mercado.</w:t>
      </w:r>
    </w:p>
    <w:p w14:paraId="0BFB19D4" w14:textId="4206F04C" w:rsidR="0021350F" w:rsidRPr="00331A9D" w:rsidRDefault="0021350F" w:rsidP="00331A9D">
      <w:pPr>
        <w:tabs>
          <w:tab w:val="left" w:pos="1134"/>
        </w:tabs>
        <w:jc w:val="both"/>
        <w:outlineLvl w:val="2"/>
        <w:rPr>
          <w:rFonts w:ascii="Verdana" w:hAnsi="Verdana" w:cs="Arial"/>
          <w:b/>
          <w:bCs/>
          <w:sz w:val="20"/>
          <w:szCs w:val="20"/>
        </w:rPr>
      </w:pPr>
      <w:r w:rsidRPr="00331A9D">
        <w:rPr>
          <w:rFonts w:ascii="Verdana" w:hAnsi="Verdana" w:cs="Arial"/>
          <w:b/>
          <w:bCs/>
          <w:sz w:val="20"/>
          <w:szCs w:val="20"/>
        </w:rPr>
        <w:t>Calificaciones de riesgo otorgadas por una sociedad calificadora de riesgo</w:t>
      </w:r>
    </w:p>
    <w:p w14:paraId="669F4F43" w14:textId="769F5D36" w:rsidR="00EB4997" w:rsidRPr="00A2626A" w:rsidRDefault="00EB4997" w:rsidP="00EB49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3F2544">
        <w:rPr>
          <w:rFonts w:ascii="Verdana" w:hAnsi="Verdana" w:cs="Arial"/>
          <w:bCs/>
          <w:sz w:val="20"/>
          <w:szCs w:val="20"/>
        </w:rPr>
        <w:t>80</w:t>
      </w:r>
      <w:r w:rsidRPr="00A2626A">
        <w:rPr>
          <w:rFonts w:ascii="Verdana" w:hAnsi="Verdana" w:cs="Arial"/>
          <w:bCs/>
          <w:sz w:val="20"/>
          <w:szCs w:val="20"/>
        </w:rPr>
        <w:t>.</w:t>
      </w:r>
    </w:p>
    <w:p w14:paraId="026886D5"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calificaciones de riesgo a las que hace referencia el presente capítulo deben cumplir los requisitos del artículo 2.1.1.3.7 del Decreto 2555 de 2010 y los que se indican a continuación. Las tablas de calificación y su correspondiente ponderación por riesgo se deben aplicar considerando el plazo contado a partir de la fecha de emisión del activo.</w:t>
      </w:r>
    </w:p>
    <w:p w14:paraId="6DBD2C91" w14:textId="3E932649" w:rsidR="00EB4997" w:rsidRPr="00A2626A" w:rsidRDefault="00EB4997" w:rsidP="00EB49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E92B6B">
        <w:rPr>
          <w:rFonts w:ascii="Verdana" w:hAnsi="Verdana" w:cs="Arial"/>
          <w:bCs/>
          <w:sz w:val="20"/>
          <w:szCs w:val="20"/>
        </w:rPr>
        <w:t>8</w:t>
      </w:r>
      <w:r w:rsidR="003F2544">
        <w:rPr>
          <w:rFonts w:ascii="Verdana" w:hAnsi="Verdana" w:cs="Arial"/>
          <w:bCs/>
          <w:sz w:val="20"/>
          <w:szCs w:val="20"/>
        </w:rPr>
        <w:t>1</w:t>
      </w:r>
      <w:r w:rsidRPr="00A2626A">
        <w:rPr>
          <w:rFonts w:ascii="Verdana" w:hAnsi="Verdana" w:cs="Arial"/>
          <w:bCs/>
          <w:sz w:val="20"/>
          <w:szCs w:val="20"/>
        </w:rPr>
        <w:t>.</w:t>
      </w:r>
    </w:p>
    <w:p w14:paraId="224685B4" w14:textId="77777777" w:rsidR="0021350F" w:rsidRPr="00923E21" w:rsidRDefault="0021350F" w:rsidP="0050A195">
      <w:pPr>
        <w:jc w:val="both"/>
        <w:rPr>
          <w:rFonts w:ascii="Verdana" w:hAnsi="Verdana" w:cs="Arial"/>
          <w:sz w:val="20"/>
          <w:szCs w:val="20"/>
        </w:rPr>
      </w:pPr>
      <w:r w:rsidRPr="0050A195">
        <w:rPr>
          <w:rFonts w:ascii="Verdana" w:hAnsi="Verdana" w:cs="Arial"/>
          <w:sz w:val="20"/>
          <w:szCs w:val="20"/>
        </w:rPr>
        <w:t>Siempre que exista una calificación de riesgo específica del activo, de la exposición o de la contingencia se debe tomar la calificación a escala nacional efectuada por una sociedad calificadora de riesgos autorizada por la SFC. Para las entidades ubicadas en el exterior y los títulos emitidos y colocados en el exterior por ellas, se debe utilizar la calificación internacional efectuada por una sociedad calificadora de riesgos internacionalmente reconocida.</w:t>
      </w:r>
    </w:p>
    <w:p w14:paraId="49F91E10" w14:textId="62C212E8" w:rsidR="00EB4997" w:rsidRPr="00A2626A" w:rsidRDefault="00EB4997" w:rsidP="00EB49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3F2544">
        <w:rPr>
          <w:rFonts w:ascii="Verdana" w:hAnsi="Verdana" w:cs="Arial"/>
          <w:bCs/>
          <w:sz w:val="20"/>
          <w:szCs w:val="20"/>
        </w:rPr>
        <w:t>82</w:t>
      </w:r>
      <w:r w:rsidRPr="00A2626A">
        <w:rPr>
          <w:rFonts w:ascii="Verdana" w:hAnsi="Verdana" w:cs="Arial"/>
          <w:bCs/>
          <w:sz w:val="20"/>
          <w:szCs w:val="20"/>
        </w:rPr>
        <w:t>.</w:t>
      </w:r>
    </w:p>
    <w:p w14:paraId="107581E9"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Tanto las calificaciones de riesgo a escala nacional como escala internacional deben cumplir con los requisitos de revisión periódica y extraordinaria.</w:t>
      </w:r>
    </w:p>
    <w:p w14:paraId="58B37F66" w14:textId="4F4D7E79" w:rsidR="00EB4997" w:rsidRPr="00A2626A" w:rsidRDefault="00EB4997" w:rsidP="00EB49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E92B6B">
        <w:rPr>
          <w:rFonts w:ascii="Verdana" w:hAnsi="Verdana" w:cs="Arial"/>
          <w:bCs/>
          <w:sz w:val="20"/>
          <w:szCs w:val="20"/>
        </w:rPr>
        <w:t>8</w:t>
      </w:r>
      <w:r w:rsidR="003F2544">
        <w:rPr>
          <w:rFonts w:ascii="Verdana" w:hAnsi="Verdana" w:cs="Arial"/>
          <w:bCs/>
          <w:sz w:val="20"/>
          <w:szCs w:val="20"/>
        </w:rPr>
        <w:t>3</w:t>
      </w:r>
      <w:r w:rsidRPr="00A2626A">
        <w:rPr>
          <w:rFonts w:ascii="Verdana" w:hAnsi="Verdana" w:cs="Arial"/>
          <w:bCs/>
          <w:sz w:val="20"/>
          <w:szCs w:val="20"/>
        </w:rPr>
        <w:t>.</w:t>
      </w:r>
    </w:p>
    <w:p w14:paraId="791A5CE1" w14:textId="77777777" w:rsidR="0021350F" w:rsidRPr="00923E21" w:rsidRDefault="0021350F" w:rsidP="0050A195">
      <w:pPr>
        <w:jc w:val="both"/>
        <w:rPr>
          <w:rFonts w:ascii="Verdana" w:hAnsi="Verdana" w:cs="Arial"/>
          <w:sz w:val="20"/>
          <w:szCs w:val="20"/>
        </w:rPr>
      </w:pPr>
      <w:r w:rsidRPr="0050A195">
        <w:rPr>
          <w:rFonts w:ascii="Verdana" w:hAnsi="Verdana" w:cs="Arial"/>
          <w:sz w:val="20"/>
          <w:szCs w:val="20"/>
        </w:rPr>
        <w:t>Para las contrapartes ubicadas en Colombia y con títulos emitidos y colocados en el exterior por ellas, se debe utilizar la calificación de riesgo del emisor a escala nacional, efectuada por una sociedad calificadora de riesgos autorizada por la SFC. En el caso de la deuda subordinada de dichas contrapartes, se debe utilizar la calificación de riesgo del emisor a escala nacional, deteriorada en la misma cantidad de escalas que exista entre la calificación internacional del emisor y la calificación internacional del instrumento de deuda subordinada efectuada por una sociedad calificadora internacionalmente reconocida.</w:t>
      </w:r>
    </w:p>
    <w:p w14:paraId="25FBFD9C" w14:textId="0AB1DF1B" w:rsidR="00EB4997" w:rsidRPr="00A2626A" w:rsidRDefault="00EB4997" w:rsidP="00EB499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8</w:t>
      </w:r>
      <w:r w:rsidR="003F2544">
        <w:rPr>
          <w:rFonts w:ascii="Verdana" w:hAnsi="Verdana" w:cs="Arial"/>
          <w:bCs/>
          <w:sz w:val="20"/>
          <w:szCs w:val="20"/>
        </w:rPr>
        <w:t>4</w:t>
      </w:r>
      <w:r w:rsidRPr="00A2626A">
        <w:rPr>
          <w:rFonts w:ascii="Verdana" w:hAnsi="Verdana" w:cs="Arial"/>
          <w:bCs/>
          <w:sz w:val="20"/>
          <w:szCs w:val="20"/>
        </w:rPr>
        <w:t>.</w:t>
      </w:r>
    </w:p>
    <w:p w14:paraId="16E3C97A" w14:textId="7F89A3C3" w:rsidR="0021350F" w:rsidRPr="00923E21" w:rsidRDefault="0021350F" w:rsidP="0050A195">
      <w:pPr>
        <w:pStyle w:val="Textoindependiente3"/>
        <w:suppressAutoHyphens/>
        <w:spacing w:after="0"/>
        <w:jc w:val="both"/>
        <w:rPr>
          <w:rFonts w:ascii="Verdana" w:hAnsi="Verdana" w:cs="Arial"/>
          <w:sz w:val="20"/>
          <w:szCs w:val="20"/>
          <w:lang w:val="es-ES"/>
        </w:rPr>
      </w:pPr>
      <w:r w:rsidRPr="0050A195">
        <w:rPr>
          <w:rFonts w:ascii="Verdana" w:hAnsi="Verdana" w:cs="Arial"/>
          <w:sz w:val="20"/>
          <w:szCs w:val="20"/>
          <w:lang w:val="es-ES"/>
        </w:rPr>
        <w:t xml:space="preserve">Para los activos, exposiciones y contingencias de contrapartes ubicadas en Colombia realizados por las sucursales o subordinadas del exterior, se debe tomar la calificación a escala nacional otorgada por una sociedad calificadora autorizada por la SFC. Cuando las contrapartes no estén ubicadas en Colombia se debe: (i) utilizar la calificación internacional otorgada por una sociedad calificadora de riesgos internacionalmente reconocida en los casos en que se efectúe a través de las sucursales, o (ii) dar cumplimiento a las instrucciones señaladas en el </w:t>
      </w:r>
      <w:r w:rsidR="00E97BBF">
        <w:rPr>
          <w:rFonts w:ascii="Verdana" w:hAnsi="Verdana" w:cs="Arial"/>
          <w:sz w:val="20"/>
          <w:szCs w:val="20"/>
          <w:lang w:val="es-ES"/>
        </w:rPr>
        <w:t xml:space="preserve">párrafo </w:t>
      </w:r>
      <w:r w:rsidR="00CA629A">
        <w:rPr>
          <w:rFonts w:ascii="Verdana" w:hAnsi="Verdana" w:cs="Arial"/>
          <w:sz w:val="20"/>
          <w:szCs w:val="20"/>
          <w:lang w:val="es-ES"/>
        </w:rPr>
        <w:t>2.4.3.88.</w:t>
      </w:r>
    </w:p>
    <w:p w14:paraId="060BE4DB" w14:textId="77777777" w:rsidR="003F2544" w:rsidRDefault="003F2544" w:rsidP="00641B47">
      <w:pPr>
        <w:tabs>
          <w:tab w:val="left" w:pos="540"/>
        </w:tabs>
        <w:spacing w:after="0" w:line="240" w:lineRule="auto"/>
        <w:jc w:val="both"/>
        <w:rPr>
          <w:rFonts w:ascii="Verdana" w:hAnsi="Verdana" w:cs="Arial"/>
          <w:bCs/>
          <w:sz w:val="20"/>
          <w:szCs w:val="20"/>
        </w:rPr>
      </w:pPr>
    </w:p>
    <w:p w14:paraId="14691A27" w14:textId="7725F3EE" w:rsidR="00641B47" w:rsidRPr="00A2626A" w:rsidRDefault="00641B47" w:rsidP="00641B4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8</w:t>
      </w:r>
      <w:r w:rsidR="003F2544">
        <w:rPr>
          <w:rFonts w:ascii="Verdana" w:hAnsi="Verdana" w:cs="Arial"/>
          <w:bCs/>
          <w:sz w:val="20"/>
          <w:szCs w:val="20"/>
        </w:rPr>
        <w:t>5</w:t>
      </w:r>
      <w:r w:rsidRPr="00A2626A">
        <w:rPr>
          <w:rFonts w:ascii="Verdana" w:hAnsi="Verdana" w:cs="Arial"/>
          <w:bCs/>
          <w:sz w:val="20"/>
          <w:szCs w:val="20"/>
        </w:rPr>
        <w:t>.</w:t>
      </w:r>
    </w:p>
    <w:p w14:paraId="2579194A" w14:textId="0426663C" w:rsidR="0021350F" w:rsidRDefault="0021350F" w:rsidP="00F7508F">
      <w:pPr>
        <w:pStyle w:val="Textoindependiente3"/>
        <w:tabs>
          <w:tab w:val="left" w:pos="-720"/>
        </w:tabs>
        <w:suppressAutoHyphens/>
        <w:spacing w:after="0"/>
        <w:jc w:val="both"/>
        <w:rPr>
          <w:rFonts w:ascii="Verdana" w:hAnsi="Verdana" w:cs="Arial"/>
          <w:sz w:val="20"/>
          <w:szCs w:val="20"/>
        </w:rPr>
      </w:pPr>
      <w:r w:rsidRPr="00923E21">
        <w:rPr>
          <w:rFonts w:ascii="Verdana" w:hAnsi="Verdana" w:cs="Arial"/>
          <w:sz w:val="20"/>
          <w:szCs w:val="20"/>
        </w:rPr>
        <w:t>Para los activos, exposiciones y contingencias de las entidades extranjeras se debe utilizar la calificación internacional efectuada por una sociedad calificadora de riesgos internacionalmente reconocida, incluidas aquellas entidades que estén inscritas en el Registro Nacional de Valores y Emisores (RNVE) cuyos valores se negocien en el mercado nacional.</w:t>
      </w:r>
    </w:p>
    <w:p w14:paraId="61AF7B36" w14:textId="77777777" w:rsidR="00F7508F" w:rsidRPr="00923E21" w:rsidRDefault="00F7508F" w:rsidP="00F7508F">
      <w:pPr>
        <w:pStyle w:val="Textoindependiente3"/>
        <w:tabs>
          <w:tab w:val="left" w:pos="-720"/>
        </w:tabs>
        <w:suppressAutoHyphens/>
        <w:spacing w:after="0"/>
        <w:jc w:val="both"/>
        <w:rPr>
          <w:rFonts w:ascii="Verdana" w:hAnsi="Verdana" w:cs="Arial"/>
          <w:sz w:val="20"/>
          <w:szCs w:val="20"/>
        </w:rPr>
      </w:pPr>
    </w:p>
    <w:p w14:paraId="316ADF27" w14:textId="12F11BDC" w:rsidR="00641B47" w:rsidRPr="00A2626A" w:rsidRDefault="00641B47" w:rsidP="00641B4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8</w:t>
      </w:r>
      <w:r w:rsidR="00F7508F">
        <w:rPr>
          <w:rFonts w:ascii="Verdana" w:hAnsi="Verdana" w:cs="Arial"/>
          <w:bCs/>
          <w:sz w:val="20"/>
          <w:szCs w:val="20"/>
        </w:rPr>
        <w:t>6</w:t>
      </w:r>
      <w:r w:rsidRPr="00A2626A">
        <w:rPr>
          <w:rFonts w:ascii="Verdana" w:hAnsi="Verdana" w:cs="Arial"/>
          <w:bCs/>
          <w:sz w:val="20"/>
          <w:szCs w:val="20"/>
        </w:rPr>
        <w:t>.</w:t>
      </w:r>
    </w:p>
    <w:p w14:paraId="7E0B92A6" w14:textId="77777777" w:rsidR="00496420" w:rsidRDefault="0021350F" w:rsidP="0050A195">
      <w:pPr>
        <w:jc w:val="both"/>
        <w:rPr>
          <w:rFonts w:ascii="Verdana" w:hAnsi="Verdana" w:cs="Arial"/>
          <w:sz w:val="20"/>
          <w:szCs w:val="20"/>
        </w:rPr>
      </w:pPr>
      <w:r w:rsidRPr="0050A195">
        <w:rPr>
          <w:rFonts w:ascii="Verdana" w:hAnsi="Verdana" w:cs="Arial"/>
          <w:sz w:val="20"/>
          <w:szCs w:val="20"/>
        </w:rPr>
        <w:t>En el caso en que no exista una calificación de riesgo específica de los activos, exposiciones y contingencias, la entidad podrá utilizar el porcentaje de ponderación correspondiente a otro activo, exposición o contingencia del mismo emisor o contraparte o la calificación del emisor o contraparte, siempre que cumpla las siguientes condiciones:</w:t>
      </w:r>
      <w:r w:rsidR="00F17E8A" w:rsidRPr="0050A195">
        <w:rPr>
          <w:rFonts w:ascii="Verdana" w:hAnsi="Verdana" w:cs="Arial"/>
          <w:sz w:val="20"/>
          <w:szCs w:val="20"/>
        </w:rPr>
        <w:t xml:space="preserve"> </w:t>
      </w:r>
    </w:p>
    <w:p w14:paraId="09B06A64" w14:textId="77777777" w:rsidR="00496420" w:rsidRDefault="00496420" w:rsidP="00496420">
      <w:pPr>
        <w:pStyle w:val="Prrafodelista"/>
        <w:numPr>
          <w:ilvl w:val="0"/>
          <w:numId w:val="30"/>
        </w:numPr>
        <w:ind w:left="567" w:hanging="567"/>
        <w:jc w:val="both"/>
        <w:rPr>
          <w:rFonts w:ascii="Verdana" w:hAnsi="Verdana" w:cs="Arial"/>
          <w:sz w:val="20"/>
          <w:szCs w:val="20"/>
        </w:rPr>
      </w:pPr>
      <w:r>
        <w:rPr>
          <w:rFonts w:ascii="Verdana" w:hAnsi="Verdana" w:cs="Arial"/>
          <w:sz w:val="20"/>
          <w:szCs w:val="20"/>
        </w:rPr>
        <w:lastRenderedPageBreak/>
        <w:t>Q</w:t>
      </w:r>
      <w:r w:rsidR="0021350F" w:rsidRPr="00496420">
        <w:rPr>
          <w:rFonts w:ascii="Verdana" w:hAnsi="Verdana" w:cs="Arial"/>
          <w:sz w:val="20"/>
          <w:szCs w:val="20"/>
        </w:rPr>
        <w:t>ue el activo, exposición y contingencia no calificado no sea subordinado y esté denominado en la moneda legal en curso del domicilio del emisor</w:t>
      </w:r>
      <w:r>
        <w:rPr>
          <w:rFonts w:ascii="Verdana" w:hAnsi="Verdana" w:cs="Arial"/>
          <w:sz w:val="20"/>
          <w:szCs w:val="20"/>
        </w:rPr>
        <w:t>.</w:t>
      </w:r>
    </w:p>
    <w:p w14:paraId="029FDEFE" w14:textId="77777777" w:rsidR="00496420" w:rsidRDefault="00496420" w:rsidP="00496420">
      <w:pPr>
        <w:pStyle w:val="Prrafodelista"/>
        <w:ind w:left="567"/>
        <w:jc w:val="both"/>
        <w:rPr>
          <w:rFonts w:ascii="Verdana" w:hAnsi="Verdana" w:cs="Arial"/>
          <w:sz w:val="20"/>
          <w:szCs w:val="20"/>
        </w:rPr>
      </w:pPr>
    </w:p>
    <w:p w14:paraId="063A7DB6" w14:textId="09549A2D" w:rsidR="0021350F" w:rsidRPr="00496420" w:rsidRDefault="00496420" w:rsidP="0021350F">
      <w:pPr>
        <w:pStyle w:val="Prrafodelista"/>
        <w:numPr>
          <w:ilvl w:val="0"/>
          <w:numId w:val="30"/>
        </w:numPr>
        <w:ind w:left="567" w:hanging="567"/>
        <w:jc w:val="both"/>
        <w:rPr>
          <w:rFonts w:ascii="Verdana" w:hAnsi="Verdana" w:cs="Arial"/>
          <w:sz w:val="20"/>
          <w:szCs w:val="20"/>
        </w:rPr>
      </w:pPr>
      <w:r>
        <w:rPr>
          <w:rFonts w:ascii="Verdana" w:hAnsi="Verdana" w:cs="Arial"/>
          <w:sz w:val="20"/>
          <w:szCs w:val="20"/>
        </w:rPr>
        <w:t>Q</w:t>
      </w:r>
      <w:r w:rsidR="0021350F" w:rsidRPr="00496420">
        <w:rPr>
          <w:rFonts w:ascii="Verdana" w:hAnsi="Verdana" w:cs="Arial"/>
          <w:sz w:val="20"/>
          <w:szCs w:val="20"/>
        </w:rPr>
        <w:t xml:space="preserve">ue la calificación de riesgo específica no corresponda a un activo o contingencia de corto plazo. </w:t>
      </w:r>
    </w:p>
    <w:p w14:paraId="6FBB3E0C" w14:textId="4988B340" w:rsidR="00641B47" w:rsidRPr="00A2626A" w:rsidRDefault="00641B47" w:rsidP="00641B4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8</w:t>
      </w:r>
      <w:r w:rsidR="00F7508F">
        <w:rPr>
          <w:rFonts w:ascii="Verdana" w:hAnsi="Verdana" w:cs="Arial"/>
          <w:bCs/>
          <w:sz w:val="20"/>
          <w:szCs w:val="20"/>
        </w:rPr>
        <w:t>7</w:t>
      </w:r>
      <w:r w:rsidRPr="00A2626A">
        <w:rPr>
          <w:rFonts w:ascii="Verdana" w:hAnsi="Verdana" w:cs="Arial"/>
          <w:bCs/>
          <w:sz w:val="20"/>
          <w:szCs w:val="20"/>
        </w:rPr>
        <w:t>.</w:t>
      </w:r>
    </w:p>
    <w:p w14:paraId="0CF57062" w14:textId="77777777" w:rsidR="0021350F" w:rsidRPr="00923E21" w:rsidRDefault="0021350F" w:rsidP="0050A195">
      <w:pPr>
        <w:jc w:val="both"/>
        <w:outlineLvl w:val="2"/>
        <w:rPr>
          <w:rFonts w:ascii="Verdana" w:hAnsi="Verdana" w:cs="Arial"/>
          <w:sz w:val="20"/>
          <w:szCs w:val="20"/>
        </w:rPr>
      </w:pPr>
      <w:r w:rsidRPr="0050A195">
        <w:rPr>
          <w:rFonts w:ascii="Verdana" w:hAnsi="Verdana" w:cs="Arial"/>
          <w:sz w:val="20"/>
          <w:szCs w:val="20"/>
        </w:rPr>
        <w:t xml:space="preserve">En el caso en que no se cumpla con los dos requisitos antes señalados, las entidades deben utilizar los porcentajes de ponderación sin calificación a que haya lugar, conforme a lo establecido en el artículo 2.6.1.1.10 del Decreto 2555 de 2010. </w:t>
      </w:r>
    </w:p>
    <w:p w14:paraId="0E208DE2" w14:textId="52F2CAAE" w:rsidR="0021350F" w:rsidRPr="00B8111E" w:rsidRDefault="0021350F" w:rsidP="0021350F">
      <w:pPr>
        <w:pStyle w:val="Prrafodelista"/>
        <w:numPr>
          <w:ilvl w:val="0"/>
          <w:numId w:val="21"/>
        </w:numPr>
        <w:ind w:left="284" w:hanging="284"/>
        <w:jc w:val="both"/>
        <w:outlineLvl w:val="2"/>
        <w:rPr>
          <w:rFonts w:ascii="Verdana" w:hAnsi="Verdana" w:cs="Arial"/>
          <w:b/>
          <w:bCs/>
          <w:sz w:val="20"/>
          <w:szCs w:val="20"/>
        </w:rPr>
      </w:pPr>
      <w:r w:rsidRPr="00496420">
        <w:rPr>
          <w:rFonts w:ascii="Verdana" w:hAnsi="Verdana" w:cs="Arial"/>
          <w:b/>
          <w:bCs/>
          <w:sz w:val="20"/>
          <w:szCs w:val="20"/>
        </w:rPr>
        <w:t>Calificación de los activos, exposiciones y contingencias de las subordinadas en el exterior</w:t>
      </w:r>
    </w:p>
    <w:p w14:paraId="2B48A588" w14:textId="7B790789" w:rsidR="00641B47" w:rsidRPr="00A2626A" w:rsidRDefault="00641B47" w:rsidP="00641B4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8</w:t>
      </w:r>
      <w:r w:rsidR="00F7508F">
        <w:rPr>
          <w:rFonts w:ascii="Verdana" w:hAnsi="Verdana" w:cs="Arial"/>
          <w:bCs/>
          <w:sz w:val="20"/>
          <w:szCs w:val="20"/>
        </w:rPr>
        <w:t>8</w:t>
      </w:r>
      <w:r w:rsidRPr="00A2626A">
        <w:rPr>
          <w:rFonts w:ascii="Verdana" w:hAnsi="Verdana" w:cs="Arial"/>
          <w:bCs/>
          <w:sz w:val="20"/>
          <w:szCs w:val="20"/>
        </w:rPr>
        <w:t>.</w:t>
      </w:r>
    </w:p>
    <w:p w14:paraId="35BFF282" w14:textId="5E80EA4C" w:rsidR="0021350F" w:rsidRPr="00923E21" w:rsidRDefault="0021350F" w:rsidP="0021350F">
      <w:pPr>
        <w:jc w:val="both"/>
        <w:rPr>
          <w:rFonts w:ascii="Verdana" w:hAnsi="Verdana" w:cs="Arial"/>
          <w:sz w:val="20"/>
          <w:szCs w:val="20"/>
        </w:rPr>
      </w:pPr>
      <w:r w:rsidRPr="00923E21">
        <w:rPr>
          <w:rFonts w:ascii="Verdana" w:hAnsi="Verdana" w:cs="Arial"/>
          <w:sz w:val="20"/>
          <w:szCs w:val="20"/>
        </w:rPr>
        <w:t>Para los activos, exposiciones o contingencias de las subordinadas en el exterior se deben aplicar las siguientes instrucciones:</w:t>
      </w:r>
    </w:p>
    <w:p w14:paraId="4DA360EE" w14:textId="7C852922" w:rsidR="000F76DD" w:rsidRPr="00302555" w:rsidRDefault="0021350F" w:rsidP="00F72C18">
      <w:pPr>
        <w:pStyle w:val="Prrafodelista"/>
        <w:numPr>
          <w:ilvl w:val="0"/>
          <w:numId w:val="16"/>
        </w:numPr>
        <w:spacing w:after="0" w:line="240" w:lineRule="auto"/>
        <w:ind w:left="567" w:hanging="567"/>
        <w:jc w:val="both"/>
        <w:rPr>
          <w:rFonts w:ascii="Verdana" w:hAnsi="Verdana" w:cs="Arial"/>
          <w:sz w:val="20"/>
          <w:szCs w:val="20"/>
        </w:rPr>
      </w:pPr>
      <w:r w:rsidRPr="00302555">
        <w:rPr>
          <w:rFonts w:ascii="Verdana" w:hAnsi="Verdana" w:cs="Arial"/>
          <w:color w:val="000000" w:themeColor="text1"/>
          <w:sz w:val="20"/>
          <w:szCs w:val="20"/>
        </w:rPr>
        <w:t>Se deben utilizar las calificadoras internacionalmente reconocidas.</w:t>
      </w:r>
    </w:p>
    <w:p w14:paraId="1FC74583" w14:textId="01985FE4" w:rsidR="0021350F" w:rsidRPr="00923E21" w:rsidRDefault="0021350F" w:rsidP="000F76DD">
      <w:pPr>
        <w:pStyle w:val="Prrafodelista"/>
        <w:spacing w:after="0" w:line="240" w:lineRule="auto"/>
        <w:ind w:left="360"/>
        <w:jc w:val="both"/>
        <w:rPr>
          <w:rFonts w:ascii="Verdana" w:hAnsi="Verdana" w:cs="Arial"/>
          <w:sz w:val="20"/>
          <w:szCs w:val="20"/>
        </w:rPr>
      </w:pPr>
      <w:r w:rsidRPr="00923E21">
        <w:rPr>
          <w:rFonts w:ascii="Verdana" w:hAnsi="Verdana" w:cs="Arial"/>
          <w:color w:val="000000" w:themeColor="text1"/>
          <w:sz w:val="20"/>
          <w:szCs w:val="20"/>
        </w:rPr>
        <w:t xml:space="preserve"> </w:t>
      </w:r>
    </w:p>
    <w:p w14:paraId="3AC275BA" w14:textId="09C9785F" w:rsidR="0021350F" w:rsidRPr="00302555" w:rsidRDefault="0021350F" w:rsidP="00F72C18">
      <w:pPr>
        <w:pStyle w:val="Prrafodelista"/>
        <w:numPr>
          <w:ilvl w:val="0"/>
          <w:numId w:val="16"/>
        </w:numPr>
        <w:spacing w:after="0" w:line="240" w:lineRule="auto"/>
        <w:ind w:left="567" w:hanging="567"/>
        <w:jc w:val="both"/>
        <w:rPr>
          <w:rFonts w:ascii="Verdana" w:hAnsi="Verdana" w:cs="Arial"/>
          <w:sz w:val="20"/>
          <w:szCs w:val="20"/>
        </w:rPr>
      </w:pPr>
      <w:r w:rsidRPr="0050A195">
        <w:rPr>
          <w:rFonts w:ascii="Verdana" w:hAnsi="Verdana" w:cs="Arial"/>
          <w:color w:val="000000" w:themeColor="text1"/>
          <w:sz w:val="20"/>
          <w:szCs w:val="20"/>
        </w:rPr>
        <w:t>Se deben homologar las referencias a: Nación, SFC, Banco de la República, Fogafín, Fondo de Garantías de Entidades Cooperativas (Fogacoop) y CRCC por su equivalente en el país correspondiente. Las referencias a CRCC se homologarán siempre que la SFC haya reconocido a la respectiva entidad de contrapartida central extranjera como equivalente, de conformidad con el listado publicado en la página web de la SFC.</w:t>
      </w:r>
    </w:p>
    <w:p w14:paraId="4AE74D53" w14:textId="77777777" w:rsidR="000F76DD" w:rsidRPr="000F76DD" w:rsidRDefault="000F76DD" w:rsidP="000F76DD">
      <w:pPr>
        <w:pStyle w:val="Prrafodelista"/>
        <w:rPr>
          <w:rFonts w:ascii="Verdana" w:hAnsi="Verdana" w:cs="Arial"/>
          <w:sz w:val="20"/>
          <w:szCs w:val="20"/>
        </w:rPr>
      </w:pPr>
    </w:p>
    <w:p w14:paraId="512B30D1" w14:textId="77777777" w:rsidR="0021350F" w:rsidRDefault="0021350F" w:rsidP="00F72C18">
      <w:pPr>
        <w:pStyle w:val="Prrafodelista"/>
        <w:numPr>
          <w:ilvl w:val="0"/>
          <w:numId w:val="16"/>
        </w:numPr>
        <w:spacing w:after="0" w:line="240" w:lineRule="auto"/>
        <w:ind w:left="567" w:hanging="567"/>
        <w:jc w:val="both"/>
        <w:rPr>
          <w:rFonts w:ascii="Verdana" w:hAnsi="Verdana" w:cs="Arial"/>
          <w:sz w:val="20"/>
          <w:szCs w:val="20"/>
        </w:rPr>
      </w:pPr>
      <w:r w:rsidRPr="00923E21">
        <w:rPr>
          <w:rFonts w:ascii="Verdana" w:hAnsi="Verdana" w:cs="Arial"/>
          <w:sz w:val="20"/>
          <w:szCs w:val="20"/>
        </w:rPr>
        <w:t>Tratándose de países con calificación soberana de largo plazo en la categoría grado de inversión se debe utilizar la escala de ponderación de riesgo asignada a la contraparte en la escala de calificación establecida en el artículo 2.6.1.1.10 del Decreto 2555 de 2010.</w:t>
      </w:r>
    </w:p>
    <w:p w14:paraId="5F060D87" w14:textId="77777777" w:rsidR="000F76DD" w:rsidRPr="000F76DD" w:rsidRDefault="000F76DD" w:rsidP="000F76DD">
      <w:pPr>
        <w:pStyle w:val="Prrafodelista"/>
        <w:rPr>
          <w:rFonts w:ascii="Verdana" w:hAnsi="Verdana" w:cs="Arial"/>
          <w:sz w:val="20"/>
          <w:szCs w:val="20"/>
        </w:rPr>
      </w:pPr>
    </w:p>
    <w:p w14:paraId="00FCB060" w14:textId="77777777" w:rsidR="0021350F" w:rsidRPr="00923E21" w:rsidRDefault="0021350F" w:rsidP="00F72C18">
      <w:pPr>
        <w:pStyle w:val="Prrafodelista"/>
        <w:numPr>
          <w:ilvl w:val="0"/>
          <w:numId w:val="16"/>
        </w:numPr>
        <w:spacing w:after="0" w:line="240" w:lineRule="auto"/>
        <w:ind w:left="567" w:hanging="567"/>
        <w:jc w:val="both"/>
        <w:rPr>
          <w:rFonts w:ascii="Verdana" w:hAnsi="Verdana" w:cs="Arial"/>
          <w:sz w:val="20"/>
          <w:szCs w:val="20"/>
        </w:rPr>
      </w:pPr>
      <w:r w:rsidRPr="0050A195">
        <w:rPr>
          <w:rFonts w:ascii="Verdana" w:hAnsi="Verdana" w:cs="Arial"/>
          <w:sz w:val="20"/>
          <w:szCs w:val="20"/>
        </w:rPr>
        <w:t>Tratándose de países con calificación soberana de largo plazo entre BB+ y B- se debe utilizar la ponderación de riesgo deteriorando una escala de ponderación a la que resulte aplicable a la contraparte, de conformidad con el artículo 2.6.1.1.10 del Decreto 2555 de 2010. A continuación, se presenta una ilustración de cómo sería el caso en el que una contraparte estuviera calificada por riesgo en AAA.</w:t>
      </w:r>
    </w:p>
    <w:p w14:paraId="1C0A4DB3" w14:textId="3C2552CC" w:rsidR="0021350F" w:rsidRPr="00923E21" w:rsidRDefault="0021350F" w:rsidP="0021350F">
      <w:pPr>
        <w:jc w:val="both"/>
        <w:rPr>
          <w:rFonts w:ascii="Verdana" w:hAnsi="Verdana" w:cs="Arial"/>
          <w:sz w:val="20"/>
          <w:szCs w:val="20"/>
        </w:rPr>
      </w:pPr>
      <w:r w:rsidRPr="00923E21">
        <w:rPr>
          <w:rFonts w:ascii="Verdana" w:hAnsi="Verdana"/>
          <w:noProof/>
          <w:sz w:val="20"/>
          <w:szCs w:val="20"/>
          <w:lang w:eastAsia="es-CO"/>
        </w:rPr>
        <mc:AlternateContent>
          <mc:Choice Requires="wps">
            <w:drawing>
              <wp:anchor distT="0" distB="0" distL="114300" distR="114300" simplePos="0" relativeHeight="251658241" behindDoc="0" locked="0" layoutInCell="1" allowOverlap="1" wp14:anchorId="5796BDFD" wp14:editId="7E057636">
                <wp:simplePos x="0" y="0"/>
                <wp:positionH relativeFrom="column">
                  <wp:posOffset>3217545</wp:posOffset>
                </wp:positionH>
                <wp:positionV relativeFrom="paragraph">
                  <wp:posOffset>64770</wp:posOffset>
                </wp:positionV>
                <wp:extent cx="1579880" cy="195580"/>
                <wp:effectExtent l="0" t="0" r="20320" b="13970"/>
                <wp:wrapNone/>
                <wp:docPr id="2" name="Cuadro de texto 2"/>
                <wp:cNvGraphicFramePr/>
                <a:graphic xmlns:a="http://schemas.openxmlformats.org/drawingml/2006/main">
                  <a:graphicData uri="http://schemas.microsoft.com/office/word/2010/wordprocessingShape">
                    <wps:wsp>
                      <wps:cNvSpPr txBox="1"/>
                      <wps:spPr>
                        <a:xfrm>
                          <a:off x="0" y="0"/>
                          <a:ext cx="1579880" cy="195580"/>
                        </a:xfrm>
                        <a:prstGeom prst="rect">
                          <a:avLst/>
                        </a:prstGeom>
                        <a:noFill/>
                        <a:ln w="6350">
                          <a:solidFill>
                            <a:schemeClr val="bg1"/>
                          </a:solidFill>
                        </a:ln>
                      </wps:spPr>
                      <wps:txbx>
                        <w:txbxContent>
                          <w:p w14:paraId="021D655C" w14:textId="77777777" w:rsidR="0021350F" w:rsidRPr="00045A0B" w:rsidRDefault="0021350F" w:rsidP="0021350F">
                            <w:pPr>
                              <w:rPr>
                                <w:rFonts w:ascii="Arial" w:hAnsi="Arial" w:cs="Arial"/>
                                <w:sz w:val="12"/>
                                <w:szCs w:val="18"/>
                              </w:rPr>
                            </w:pPr>
                            <w:r w:rsidRPr="00045A0B">
                              <w:rPr>
                                <w:rFonts w:ascii="Arial" w:hAnsi="Arial" w:cs="Arial"/>
                                <w:sz w:val="12"/>
                                <w:szCs w:val="18"/>
                              </w:rPr>
                              <w:t>Deterioro de 1 escala de ponderación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96BDFD" id="_x0000_t202" coordsize="21600,21600" o:spt="202" path="m,l,21600r21600,l21600,xe">
                <v:stroke joinstyle="miter"/>
                <v:path gradientshapeok="t" o:connecttype="rect"/>
              </v:shapetype>
              <v:shape id="Cuadro de texto 2" o:spid="_x0000_s1026" type="#_x0000_t202" style="position:absolute;left:0;text-align:left;margin-left:253.35pt;margin-top:5.1pt;width:124.4pt;height:15.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" filled="f" strokecolor="white [3212]" strokeweight=".5pt">
                <v:textbox>
                  <w:txbxContent>
                    <w:p w14:paraId="021D655C" w14:textId="77777777" w:rsidR="0021350F" w:rsidRPr="00045A0B" w:rsidRDefault="0021350F" w:rsidP="0021350F">
                      <w:pPr>
                        <w:rPr>
                          <w:rFonts w:ascii="Arial" w:hAnsi="Arial" w:cs="Arial"/>
                          <w:sz w:val="12"/>
                          <w:szCs w:val="18"/>
                        </w:rPr>
                      </w:pPr>
                      <w:r w:rsidRPr="00045A0B">
                        <w:rPr>
                          <w:rFonts w:ascii="Arial" w:hAnsi="Arial" w:cs="Arial"/>
                          <w:sz w:val="12"/>
                          <w:szCs w:val="18"/>
                        </w:rPr>
                        <w:t>Deterioro de 1 escala de ponderación</w:t>
                      </w:r>
                    </w:p>
                  </w:txbxContent>
                </v:textbox>
              </v:shape>
            </w:pict>
          </mc:Fallback>
        </mc:AlternateContent>
      </w:r>
    </w:p>
    <w:p w14:paraId="6C3D5C45" w14:textId="56BADAA4" w:rsidR="0021350F" w:rsidRPr="00923E21" w:rsidRDefault="0021350F" w:rsidP="0021350F">
      <w:pPr>
        <w:jc w:val="both"/>
        <w:rPr>
          <w:rFonts w:ascii="Verdana" w:hAnsi="Verdana" w:cs="Arial"/>
          <w:sz w:val="20"/>
          <w:szCs w:val="20"/>
        </w:rPr>
      </w:pPr>
      <w:r w:rsidRPr="00923E21">
        <w:rPr>
          <w:rFonts w:ascii="Verdana" w:hAnsi="Verdana"/>
          <w:noProof/>
          <w:sz w:val="20"/>
          <w:szCs w:val="20"/>
          <w:lang w:eastAsia="es-CO"/>
        </w:rPr>
        <mc:AlternateContent>
          <mc:Choice Requires="wps">
            <w:drawing>
              <wp:anchor distT="0" distB="0" distL="114300" distR="114300" simplePos="0" relativeHeight="251658240" behindDoc="0" locked="0" layoutInCell="1" allowOverlap="1" wp14:anchorId="19839B80" wp14:editId="68F13565">
                <wp:simplePos x="0" y="0"/>
                <wp:positionH relativeFrom="column">
                  <wp:posOffset>3079115</wp:posOffset>
                </wp:positionH>
                <wp:positionV relativeFrom="paragraph">
                  <wp:posOffset>30785</wp:posOffset>
                </wp:positionV>
                <wp:extent cx="1739265" cy="113030"/>
                <wp:effectExtent l="0" t="0" r="0" b="39370"/>
                <wp:wrapNone/>
                <wp:docPr id="3" name="Flecha curvada hacia abajo 2"/>
                <wp:cNvGraphicFramePr/>
                <a:graphic xmlns:a="http://schemas.openxmlformats.org/drawingml/2006/main">
                  <a:graphicData uri="http://schemas.microsoft.com/office/word/2010/wordprocessingShape">
                    <wps:wsp>
                      <wps:cNvSpPr/>
                      <wps:spPr>
                        <a:xfrm>
                          <a:off x="0" y="0"/>
                          <a:ext cx="1739265" cy="113030"/>
                        </a:xfrm>
                        <a:prstGeom prst="curvedDownArrow">
                          <a:avLst>
                            <a:gd name="adj1" fmla="val 9837"/>
                            <a:gd name="adj2" fmla="val 50000"/>
                            <a:gd name="adj3" fmla="val 25000"/>
                          </a:avLst>
                        </a:prstGeom>
                        <a:solidFill>
                          <a:schemeClr val="tx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194CABB">
              <v:shape id="Flecha curvada hacia abajo 2" style="position:absolute;margin-left:242.45pt;margin-top:2.4pt;width:136.95pt;height: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13]" strokecolor="black [3213]" strokeweight=".25pt" type="#_x0000_t105" adj="20898,21318,1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" w14:anchorId="274D4F60"/>
            </w:pict>
          </mc:Fallback>
        </mc:AlternateContent>
      </w:r>
    </w:p>
    <w:tbl>
      <w:tblPr>
        <w:tblStyle w:val="Tablaconcuadrcula"/>
        <w:tblW w:w="0" w:type="auto"/>
        <w:tblInd w:w="846" w:type="dxa"/>
        <w:tblLook w:val="04A0" w:firstRow="1" w:lastRow="0" w:firstColumn="1" w:lastColumn="0" w:noHBand="0" w:noVBand="1"/>
      </w:tblPr>
      <w:tblGrid>
        <w:gridCol w:w="2525"/>
        <w:gridCol w:w="3012"/>
        <w:gridCol w:w="2401"/>
      </w:tblGrid>
      <w:tr w:rsidR="0021350F" w:rsidRPr="00923E21" w14:paraId="6EB1B471" w14:textId="77777777" w:rsidTr="00B8111E">
        <w:tc>
          <w:tcPr>
            <w:tcW w:w="2525" w:type="dxa"/>
            <w:shd w:val="clear" w:color="auto" w:fill="D1D1D1" w:themeFill="background2" w:themeFillShade="E6"/>
          </w:tcPr>
          <w:p w14:paraId="0909ABE5" w14:textId="77777777" w:rsidR="0021350F" w:rsidRPr="00B8111E" w:rsidRDefault="0021350F" w:rsidP="00B8111E">
            <w:pPr>
              <w:jc w:val="center"/>
              <w:rPr>
                <w:rFonts w:ascii="Verdana" w:eastAsia="Times New Roman" w:hAnsi="Verdana" w:cs="Arial"/>
                <w:b/>
                <w:bCs/>
                <w:color w:val="000000"/>
                <w:sz w:val="16"/>
                <w:szCs w:val="16"/>
                <w:lang w:eastAsia="es-CO"/>
              </w:rPr>
            </w:pPr>
            <w:r w:rsidRPr="00B8111E">
              <w:rPr>
                <w:rFonts w:ascii="Verdana" w:eastAsia="Times New Roman" w:hAnsi="Verdana" w:cs="Arial"/>
                <w:b/>
                <w:bCs/>
                <w:color w:val="000000"/>
                <w:sz w:val="16"/>
                <w:szCs w:val="16"/>
                <w:lang w:eastAsia="es-CO"/>
              </w:rPr>
              <w:t>Calificación de riesgo de la contraparte</w:t>
            </w:r>
          </w:p>
        </w:tc>
        <w:tc>
          <w:tcPr>
            <w:tcW w:w="3012" w:type="dxa"/>
            <w:shd w:val="clear" w:color="auto" w:fill="D1D1D1" w:themeFill="background2" w:themeFillShade="E6"/>
          </w:tcPr>
          <w:p w14:paraId="53142829" w14:textId="3C7D89D4" w:rsidR="0021350F" w:rsidRPr="00B8111E" w:rsidRDefault="0021350F" w:rsidP="00B8111E">
            <w:pPr>
              <w:jc w:val="center"/>
              <w:rPr>
                <w:rFonts w:ascii="Verdana" w:eastAsia="Times New Roman" w:hAnsi="Verdana" w:cs="Arial"/>
                <w:b/>
                <w:bCs/>
                <w:color w:val="000000"/>
                <w:sz w:val="16"/>
                <w:szCs w:val="16"/>
                <w:lang w:eastAsia="es-CO"/>
              </w:rPr>
            </w:pPr>
            <w:r w:rsidRPr="00B8111E">
              <w:rPr>
                <w:rFonts w:ascii="Verdana" w:eastAsia="Times New Roman" w:hAnsi="Verdana" w:cs="Arial"/>
                <w:b/>
                <w:bCs/>
                <w:color w:val="000000"/>
                <w:sz w:val="16"/>
                <w:szCs w:val="16"/>
                <w:lang w:eastAsia="es-CO"/>
              </w:rPr>
              <w:t>AAA</w:t>
            </w:r>
          </w:p>
          <w:p w14:paraId="4755A109" w14:textId="77777777" w:rsidR="0021350F" w:rsidRPr="00B8111E" w:rsidRDefault="0021350F" w:rsidP="00B8111E">
            <w:pPr>
              <w:jc w:val="center"/>
              <w:rPr>
                <w:rFonts w:ascii="Verdana" w:eastAsia="Times New Roman" w:hAnsi="Verdana" w:cs="Arial"/>
                <w:b/>
                <w:bCs/>
                <w:color w:val="000000"/>
                <w:sz w:val="16"/>
                <w:szCs w:val="16"/>
                <w:lang w:eastAsia="es-CO"/>
              </w:rPr>
            </w:pPr>
            <w:r w:rsidRPr="00B8111E">
              <w:rPr>
                <w:rFonts w:ascii="Verdana" w:eastAsia="Times New Roman" w:hAnsi="Verdana" w:cs="Arial"/>
                <w:b/>
                <w:bCs/>
                <w:color w:val="000000"/>
                <w:sz w:val="16"/>
                <w:szCs w:val="16"/>
                <w:lang w:eastAsia="es-CO"/>
              </w:rPr>
              <w:t>a AA-</w:t>
            </w:r>
          </w:p>
        </w:tc>
        <w:tc>
          <w:tcPr>
            <w:tcW w:w="2401" w:type="dxa"/>
            <w:shd w:val="clear" w:color="auto" w:fill="D1D1D1" w:themeFill="background2" w:themeFillShade="E6"/>
          </w:tcPr>
          <w:p w14:paraId="3B0F9E93" w14:textId="77777777" w:rsidR="0021350F" w:rsidRPr="00B8111E" w:rsidRDefault="0021350F" w:rsidP="00B8111E">
            <w:pPr>
              <w:jc w:val="center"/>
              <w:rPr>
                <w:rFonts w:ascii="Verdana" w:eastAsia="Times New Roman" w:hAnsi="Verdana" w:cs="Arial"/>
                <w:b/>
                <w:bCs/>
                <w:color w:val="000000"/>
                <w:sz w:val="16"/>
                <w:szCs w:val="16"/>
                <w:lang w:eastAsia="es-CO"/>
              </w:rPr>
            </w:pPr>
            <w:r w:rsidRPr="00B8111E">
              <w:rPr>
                <w:rFonts w:ascii="Verdana" w:eastAsia="Times New Roman" w:hAnsi="Verdana" w:cs="Arial"/>
                <w:b/>
                <w:bCs/>
                <w:color w:val="000000"/>
                <w:sz w:val="16"/>
                <w:szCs w:val="16"/>
                <w:lang w:eastAsia="es-CO"/>
              </w:rPr>
              <w:t>A+</w:t>
            </w:r>
          </w:p>
          <w:p w14:paraId="6143521B" w14:textId="77777777" w:rsidR="0021350F" w:rsidRPr="00B8111E" w:rsidRDefault="0021350F" w:rsidP="00B8111E">
            <w:pPr>
              <w:jc w:val="center"/>
              <w:rPr>
                <w:rFonts w:ascii="Verdana" w:eastAsia="Times New Roman" w:hAnsi="Verdana" w:cs="Arial"/>
                <w:b/>
                <w:bCs/>
                <w:color w:val="000000"/>
                <w:sz w:val="16"/>
                <w:szCs w:val="16"/>
                <w:lang w:eastAsia="es-CO"/>
              </w:rPr>
            </w:pPr>
            <w:r w:rsidRPr="00B8111E">
              <w:rPr>
                <w:rFonts w:ascii="Verdana" w:eastAsia="Times New Roman" w:hAnsi="Verdana" w:cs="Arial"/>
                <w:b/>
                <w:bCs/>
                <w:color w:val="000000"/>
                <w:sz w:val="16"/>
                <w:szCs w:val="16"/>
                <w:lang w:eastAsia="es-CO"/>
              </w:rPr>
              <w:t xml:space="preserve">a </w:t>
            </w:r>
            <w:proofErr w:type="spellStart"/>
            <w:r w:rsidRPr="00B8111E">
              <w:rPr>
                <w:rFonts w:ascii="Verdana" w:eastAsia="Times New Roman" w:hAnsi="Verdana" w:cs="Arial"/>
                <w:b/>
                <w:bCs/>
                <w:color w:val="000000"/>
                <w:sz w:val="16"/>
                <w:szCs w:val="16"/>
                <w:lang w:eastAsia="es-CO"/>
              </w:rPr>
              <w:t>A</w:t>
            </w:r>
            <w:proofErr w:type="spellEnd"/>
            <w:r w:rsidRPr="00B8111E">
              <w:rPr>
                <w:rFonts w:ascii="Verdana" w:eastAsia="Times New Roman" w:hAnsi="Verdana" w:cs="Arial"/>
                <w:b/>
                <w:bCs/>
                <w:color w:val="000000"/>
                <w:sz w:val="16"/>
                <w:szCs w:val="16"/>
                <w:lang w:eastAsia="es-CO"/>
              </w:rPr>
              <w:t>-</w:t>
            </w:r>
          </w:p>
        </w:tc>
      </w:tr>
      <w:tr w:rsidR="0021350F" w:rsidRPr="00923E21" w14:paraId="3593C815" w14:textId="77777777" w:rsidTr="0050A195">
        <w:tc>
          <w:tcPr>
            <w:tcW w:w="2525" w:type="dxa"/>
          </w:tcPr>
          <w:p w14:paraId="32643CB3" w14:textId="77777777" w:rsidR="0021350F" w:rsidRPr="00B8111E" w:rsidRDefault="0021350F" w:rsidP="00B8111E">
            <w:pPr>
              <w:jc w:val="both"/>
              <w:rPr>
                <w:rFonts w:ascii="Verdana" w:eastAsia="Times New Roman" w:hAnsi="Verdana" w:cs="Arial"/>
                <w:color w:val="000000"/>
                <w:sz w:val="16"/>
                <w:szCs w:val="16"/>
                <w:lang w:eastAsia="es-CO"/>
              </w:rPr>
            </w:pPr>
          </w:p>
          <w:p w14:paraId="4A797D5D" w14:textId="77777777" w:rsidR="0021350F" w:rsidRPr="00B8111E" w:rsidRDefault="0021350F" w:rsidP="00B8111E">
            <w:pPr>
              <w:jc w:val="both"/>
              <w:rPr>
                <w:rFonts w:ascii="Verdana" w:eastAsia="Times New Roman" w:hAnsi="Verdana" w:cs="Arial"/>
                <w:color w:val="000000"/>
                <w:sz w:val="16"/>
                <w:szCs w:val="16"/>
                <w:lang w:eastAsia="es-CO"/>
              </w:rPr>
            </w:pPr>
            <w:r w:rsidRPr="00B8111E">
              <w:rPr>
                <w:rFonts w:ascii="Verdana" w:eastAsia="Times New Roman" w:hAnsi="Verdana" w:cs="Arial"/>
                <w:color w:val="000000"/>
                <w:sz w:val="16"/>
                <w:szCs w:val="16"/>
                <w:lang w:eastAsia="es-CO"/>
              </w:rPr>
              <w:t>Ponderación</w:t>
            </w:r>
          </w:p>
        </w:tc>
        <w:tc>
          <w:tcPr>
            <w:tcW w:w="3012" w:type="dxa"/>
          </w:tcPr>
          <w:p w14:paraId="31CB2690" w14:textId="77777777" w:rsidR="0021350F" w:rsidRPr="00B8111E" w:rsidRDefault="0021350F" w:rsidP="00B8111E">
            <w:pPr>
              <w:jc w:val="both"/>
              <w:rPr>
                <w:rFonts w:ascii="Verdana" w:eastAsia="Times New Roman" w:hAnsi="Verdana" w:cs="Arial"/>
                <w:color w:val="000000"/>
                <w:sz w:val="16"/>
                <w:szCs w:val="16"/>
                <w:lang w:eastAsia="es-CO"/>
              </w:rPr>
            </w:pPr>
          </w:p>
          <w:p w14:paraId="59932A9E" w14:textId="77777777" w:rsidR="0021350F" w:rsidRPr="00B8111E" w:rsidRDefault="0021350F" w:rsidP="00B8111E">
            <w:pPr>
              <w:jc w:val="both"/>
              <w:rPr>
                <w:rFonts w:ascii="Verdana" w:eastAsia="Times New Roman" w:hAnsi="Verdana" w:cs="Arial"/>
                <w:color w:val="000000"/>
                <w:sz w:val="16"/>
                <w:szCs w:val="16"/>
                <w:lang w:eastAsia="es-CO"/>
              </w:rPr>
            </w:pPr>
            <w:r w:rsidRPr="00B8111E">
              <w:rPr>
                <w:rFonts w:ascii="Verdana" w:eastAsia="Times New Roman" w:hAnsi="Verdana" w:cs="Arial"/>
                <w:color w:val="000000"/>
                <w:sz w:val="16"/>
                <w:szCs w:val="16"/>
                <w:lang w:eastAsia="es-CO"/>
              </w:rPr>
              <w:t>Ponderación inicial del emisor</w:t>
            </w:r>
          </w:p>
        </w:tc>
        <w:tc>
          <w:tcPr>
            <w:tcW w:w="2401" w:type="dxa"/>
          </w:tcPr>
          <w:p w14:paraId="7DD6D419" w14:textId="77777777" w:rsidR="0021350F" w:rsidRPr="00B8111E" w:rsidRDefault="0021350F" w:rsidP="00B8111E">
            <w:pPr>
              <w:jc w:val="both"/>
              <w:rPr>
                <w:rFonts w:ascii="Verdana" w:eastAsia="Times New Roman" w:hAnsi="Verdana" w:cs="Arial"/>
                <w:color w:val="000000"/>
                <w:sz w:val="16"/>
                <w:szCs w:val="16"/>
                <w:lang w:eastAsia="es-CO"/>
              </w:rPr>
            </w:pPr>
            <w:r w:rsidRPr="00B8111E">
              <w:rPr>
                <w:rFonts w:ascii="Verdana" w:eastAsia="Times New Roman" w:hAnsi="Verdana" w:cs="Arial"/>
                <w:color w:val="000000"/>
                <w:sz w:val="16"/>
                <w:szCs w:val="16"/>
                <w:lang w:eastAsia="es-CO"/>
              </w:rPr>
              <w:t>Ponderación que se debe utilizar después de aplicar el deterioro</w:t>
            </w:r>
          </w:p>
        </w:tc>
      </w:tr>
    </w:tbl>
    <w:p w14:paraId="301A1F11" w14:textId="77777777" w:rsidR="0021350F" w:rsidRPr="00976C66" w:rsidRDefault="0021350F" w:rsidP="00976C66">
      <w:pPr>
        <w:jc w:val="both"/>
        <w:rPr>
          <w:rFonts w:ascii="Verdana" w:hAnsi="Verdana" w:cs="Arial"/>
          <w:sz w:val="20"/>
          <w:szCs w:val="20"/>
        </w:rPr>
      </w:pPr>
    </w:p>
    <w:p w14:paraId="75268AE4" w14:textId="77777777" w:rsidR="0021350F" w:rsidRDefault="0021350F" w:rsidP="00F72C18">
      <w:pPr>
        <w:pStyle w:val="Prrafodelista"/>
        <w:numPr>
          <w:ilvl w:val="0"/>
          <w:numId w:val="16"/>
        </w:numPr>
        <w:spacing w:after="0" w:line="240" w:lineRule="auto"/>
        <w:ind w:left="567" w:hanging="567"/>
        <w:jc w:val="both"/>
        <w:rPr>
          <w:rFonts w:ascii="Verdana" w:hAnsi="Verdana" w:cs="Arial"/>
          <w:sz w:val="20"/>
          <w:szCs w:val="20"/>
        </w:rPr>
      </w:pPr>
      <w:r w:rsidRPr="0050A195">
        <w:rPr>
          <w:rFonts w:ascii="Verdana" w:hAnsi="Verdana" w:cs="Arial"/>
          <w:sz w:val="20"/>
          <w:szCs w:val="20"/>
        </w:rPr>
        <w:t>Tratándose de países con calificación soberana de largo plazo en la categoría menor a B- y hasta CCC se debe utilizar la ponderación de riesgo deteriorando dos escalas de ponderación a la que resulte aplicable a la contraparte de conformidad con el artículo 2.6.1.1.10 del Decreto 2555 de 2010.</w:t>
      </w:r>
    </w:p>
    <w:p w14:paraId="15CFD2A6" w14:textId="77777777" w:rsidR="000F76DD" w:rsidRPr="00923E21" w:rsidRDefault="000F76DD" w:rsidP="000F76DD">
      <w:pPr>
        <w:pStyle w:val="Prrafodelista"/>
        <w:spacing w:after="0" w:line="240" w:lineRule="auto"/>
        <w:ind w:left="426"/>
        <w:jc w:val="both"/>
        <w:rPr>
          <w:rFonts w:ascii="Verdana" w:hAnsi="Verdana" w:cs="Arial"/>
          <w:sz w:val="20"/>
          <w:szCs w:val="20"/>
        </w:rPr>
      </w:pPr>
    </w:p>
    <w:p w14:paraId="62AB4F9D" w14:textId="0BA1B709" w:rsidR="0021350F" w:rsidRPr="00302555" w:rsidRDefault="0021350F" w:rsidP="00F72C18">
      <w:pPr>
        <w:pStyle w:val="Prrafodelista"/>
        <w:numPr>
          <w:ilvl w:val="0"/>
          <w:numId w:val="16"/>
        </w:numPr>
        <w:spacing w:after="0" w:line="240" w:lineRule="auto"/>
        <w:ind w:left="567" w:hanging="567"/>
        <w:jc w:val="both"/>
        <w:rPr>
          <w:rFonts w:ascii="Verdana" w:hAnsi="Verdana" w:cs="Arial"/>
          <w:sz w:val="20"/>
          <w:szCs w:val="20"/>
        </w:rPr>
      </w:pPr>
      <w:r w:rsidRPr="0050A195">
        <w:rPr>
          <w:rFonts w:ascii="Verdana" w:hAnsi="Verdana" w:cs="Arial"/>
          <w:sz w:val="20"/>
          <w:szCs w:val="20"/>
        </w:rPr>
        <w:t>Tratándose de países con calificación soberana de largo plazo menor a C se debe utilizar la ponderación de riesgo deteriorando tres escalas de ponderación a la que resulte aplicable a la contraparte de conformidad con el artículo 2.6.1.1.10 del Decreto 2555 de 2010.</w:t>
      </w:r>
    </w:p>
    <w:p w14:paraId="611A2927" w14:textId="77777777" w:rsidR="0021350F" w:rsidRPr="00923E21" w:rsidRDefault="0021350F" w:rsidP="0021350F">
      <w:pPr>
        <w:jc w:val="both"/>
        <w:outlineLvl w:val="0"/>
        <w:rPr>
          <w:rFonts w:ascii="Verdana" w:hAnsi="Verdana" w:cs="Arial"/>
          <w:b/>
          <w:bCs/>
          <w:sz w:val="20"/>
          <w:szCs w:val="20"/>
        </w:rPr>
      </w:pPr>
    </w:p>
    <w:p w14:paraId="5E3800B2" w14:textId="01C33ED5" w:rsidR="0021350F" w:rsidRPr="00F7508F" w:rsidRDefault="0021350F" w:rsidP="0021350F">
      <w:pPr>
        <w:pStyle w:val="Prrafodelista"/>
        <w:numPr>
          <w:ilvl w:val="0"/>
          <w:numId w:val="21"/>
        </w:numPr>
        <w:ind w:left="284" w:hanging="284"/>
        <w:jc w:val="both"/>
        <w:outlineLvl w:val="2"/>
        <w:rPr>
          <w:rFonts w:ascii="Verdana" w:hAnsi="Verdana" w:cs="Arial"/>
          <w:b/>
          <w:bCs/>
          <w:sz w:val="20"/>
          <w:szCs w:val="20"/>
        </w:rPr>
      </w:pPr>
      <w:r w:rsidRPr="00976C66">
        <w:rPr>
          <w:rFonts w:ascii="Verdana" w:hAnsi="Verdana" w:cs="Arial"/>
          <w:b/>
          <w:bCs/>
          <w:sz w:val="20"/>
          <w:szCs w:val="20"/>
        </w:rPr>
        <w:t xml:space="preserve">Correspondencia entre las </w:t>
      </w:r>
      <w:r w:rsidR="001B1E8E">
        <w:rPr>
          <w:rFonts w:ascii="Verdana" w:hAnsi="Verdana" w:cs="Arial"/>
          <w:b/>
          <w:bCs/>
          <w:sz w:val="20"/>
          <w:szCs w:val="20"/>
        </w:rPr>
        <w:t>c</w:t>
      </w:r>
      <w:r w:rsidRPr="00976C66">
        <w:rPr>
          <w:rFonts w:ascii="Verdana" w:hAnsi="Verdana" w:cs="Arial"/>
          <w:b/>
          <w:bCs/>
          <w:sz w:val="20"/>
          <w:szCs w:val="20"/>
        </w:rPr>
        <w:t xml:space="preserve">alificaciones de </w:t>
      </w:r>
      <w:r w:rsidR="001B1E8E">
        <w:rPr>
          <w:rFonts w:ascii="Verdana" w:hAnsi="Verdana" w:cs="Arial"/>
          <w:b/>
          <w:bCs/>
          <w:sz w:val="20"/>
          <w:szCs w:val="20"/>
        </w:rPr>
        <w:t>r</w:t>
      </w:r>
      <w:r w:rsidRPr="00976C66">
        <w:rPr>
          <w:rFonts w:ascii="Verdana" w:hAnsi="Verdana" w:cs="Arial"/>
          <w:b/>
          <w:bCs/>
          <w:sz w:val="20"/>
          <w:szCs w:val="20"/>
        </w:rPr>
        <w:t xml:space="preserve">iesgo de las </w:t>
      </w:r>
      <w:r w:rsidR="001B1E8E">
        <w:rPr>
          <w:rFonts w:ascii="Verdana" w:hAnsi="Verdana" w:cs="Arial"/>
          <w:b/>
          <w:bCs/>
          <w:sz w:val="20"/>
          <w:szCs w:val="20"/>
        </w:rPr>
        <w:t>s</w:t>
      </w:r>
      <w:r w:rsidRPr="00976C66">
        <w:rPr>
          <w:rFonts w:ascii="Verdana" w:hAnsi="Verdana" w:cs="Arial"/>
          <w:b/>
          <w:bCs/>
          <w:sz w:val="20"/>
          <w:szCs w:val="20"/>
        </w:rPr>
        <w:t xml:space="preserve">ociedades </w:t>
      </w:r>
      <w:r w:rsidR="001B1E8E">
        <w:rPr>
          <w:rFonts w:ascii="Verdana" w:hAnsi="Verdana" w:cs="Arial"/>
          <w:b/>
          <w:bCs/>
          <w:sz w:val="20"/>
          <w:szCs w:val="20"/>
        </w:rPr>
        <w:t>c</w:t>
      </w:r>
      <w:r w:rsidRPr="00976C66">
        <w:rPr>
          <w:rFonts w:ascii="Verdana" w:hAnsi="Verdana" w:cs="Arial"/>
          <w:b/>
          <w:bCs/>
          <w:sz w:val="20"/>
          <w:szCs w:val="20"/>
        </w:rPr>
        <w:t xml:space="preserve">alificadoras de </w:t>
      </w:r>
      <w:r w:rsidR="001B1E8E">
        <w:rPr>
          <w:rFonts w:ascii="Verdana" w:hAnsi="Verdana" w:cs="Arial"/>
          <w:b/>
          <w:bCs/>
          <w:sz w:val="20"/>
          <w:szCs w:val="20"/>
        </w:rPr>
        <w:t>r</w:t>
      </w:r>
      <w:r w:rsidRPr="00976C66">
        <w:rPr>
          <w:rFonts w:ascii="Verdana" w:hAnsi="Verdana" w:cs="Arial"/>
          <w:b/>
          <w:bCs/>
          <w:sz w:val="20"/>
          <w:szCs w:val="20"/>
        </w:rPr>
        <w:t>iesgo</w:t>
      </w:r>
    </w:p>
    <w:p w14:paraId="2C675066" w14:textId="620E410F" w:rsidR="006F7295" w:rsidRPr="00A2626A" w:rsidRDefault="006F7295" w:rsidP="006F7295">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8</w:t>
      </w:r>
      <w:r w:rsidR="00F7508F">
        <w:rPr>
          <w:rFonts w:ascii="Verdana" w:hAnsi="Verdana" w:cs="Arial"/>
          <w:bCs/>
          <w:sz w:val="20"/>
          <w:szCs w:val="20"/>
        </w:rPr>
        <w:t>9</w:t>
      </w:r>
      <w:r w:rsidRPr="00A2626A">
        <w:rPr>
          <w:rFonts w:ascii="Verdana" w:hAnsi="Verdana" w:cs="Arial"/>
          <w:bCs/>
          <w:sz w:val="20"/>
          <w:szCs w:val="20"/>
        </w:rPr>
        <w:t>.</w:t>
      </w:r>
    </w:p>
    <w:p w14:paraId="257F9890" w14:textId="6EC76FFC" w:rsidR="0021350F" w:rsidRPr="00923E21" w:rsidRDefault="0021350F" w:rsidP="0021350F">
      <w:pPr>
        <w:jc w:val="both"/>
        <w:outlineLvl w:val="0"/>
        <w:rPr>
          <w:rFonts w:ascii="Verdana" w:hAnsi="Verdana" w:cs="Arial"/>
          <w:sz w:val="20"/>
          <w:szCs w:val="20"/>
        </w:rPr>
      </w:pPr>
      <w:r w:rsidRPr="00923E21">
        <w:rPr>
          <w:rFonts w:ascii="Verdana" w:hAnsi="Verdana" w:cs="Arial"/>
          <w:sz w:val="20"/>
          <w:szCs w:val="20"/>
        </w:rPr>
        <w:t xml:space="preserve">A efectos de establecer la correspondencia entre las categorías de ponderación por riesgo a </w:t>
      </w:r>
      <w:r w:rsidR="000F76DD" w:rsidRPr="00923E21">
        <w:rPr>
          <w:rFonts w:ascii="Verdana" w:hAnsi="Verdana" w:cs="Arial"/>
          <w:sz w:val="20"/>
          <w:szCs w:val="20"/>
        </w:rPr>
        <w:t>las que</w:t>
      </w:r>
      <w:r w:rsidRPr="00923E21">
        <w:rPr>
          <w:rFonts w:ascii="Verdana" w:hAnsi="Verdana" w:cs="Arial"/>
          <w:sz w:val="20"/>
          <w:szCs w:val="20"/>
        </w:rPr>
        <w:t xml:space="preserve"> se refiere el artículo 2.6.1.1.10 del Decreto 2555 de 2010 y las calificaciones de riesgo de las sociedades calificadoras de riesgo, se debe tener en cuenta la información publicada en la página web de esta </w:t>
      </w:r>
      <w:r w:rsidRPr="000F76DD">
        <w:rPr>
          <w:rFonts w:ascii="Verdana" w:hAnsi="Verdana" w:cs="Arial"/>
          <w:sz w:val="20"/>
          <w:szCs w:val="20"/>
        </w:rPr>
        <w:t xml:space="preserve">Superintendencia </w:t>
      </w:r>
      <w:hyperlink r:id="rId10" w:history="1">
        <w:r w:rsidRPr="000F76DD">
          <w:rPr>
            <w:rStyle w:val="Hipervnculo"/>
            <w:rFonts w:ascii="Verdana" w:hAnsi="Verdana" w:cs="Arial"/>
            <w:color w:val="auto"/>
            <w:sz w:val="20"/>
            <w:szCs w:val="20"/>
            <w:u w:val="none"/>
          </w:rPr>
          <w:t>en</w:t>
        </w:r>
      </w:hyperlink>
      <w:r w:rsidRPr="000F76DD">
        <w:rPr>
          <w:rFonts w:ascii="Verdana" w:hAnsi="Verdana" w:cs="Arial"/>
          <w:sz w:val="20"/>
          <w:szCs w:val="20"/>
        </w:rPr>
        <w:t xml:space="preserve"> la </w:t>
      </w:r>
      <w:r w:rsidRPr="00923E21">
        <w:rPr>
          <w:rFonts w:ascii="Verdana" w:hAnsi="Verdana" w:cs="Arial"/>
          <w:sz w:val="20"/>
          <w:szCs w:val="20"/>
        </w:rPr>
        <w:t>ruta:</w:t>
      </w:r>
    </w:p>
    <w:p w14:paraId="7299C4F0" w14:textId="636ACA1E" w:rsidR="0021350F" w:rsidRPr="001B1E8E" w:rsidRDefault="0021350F" w:rsidP="001B1E8E">
      <w:pPr>
        <w:jc w:val="both"/>
        <w:outlineLvl w:val="0"/>
        <w:rPr>
          <w:rFonts w:ascii="Verdana" w:hAnsi="Verdana" w:cs="Arial"/>
          <w:color w:val="0000FF"/>
          <w:sz w:val="20"/>
          <w:szCs w:val="20"/>
          <w:u w:val="single"/>
        </w:rPr>
      </w:pPr>
      <w:r w:rsidRPr="00923E21">
        <w:rPr>
          <w:rFonts w:ascii="Verdana" w:hAnsi="Verdana" w:cs="Arial"/>
          <w:sz w:val="20"/>
          <w:szCs w:val="20"/>
        </w:rPr>
        <w:t>Inicio / Entidades vigiladas y controladas / Interés del vigilado / Guía para el reporte de información sobre valoración de portafolio / Códigos calificaciones</w:t>
      </w:r>
    </w:p>
    <w:p w14:paraId="7E1DE024" w14:textId="2975CB1B" w:rsidR="0021350F" w:rsidRPr="001B1E8E" w:rsidRDefault="0021350F" w:rsidP="001B1E8E">
      <w:pPr>
        <w:pStyle w:val="Prrafodelista"/>
        <w:numPr>
          <w:ilvl w:val="0"/>
          <w:numId w:val="21"/>
        </w:numPr>
        <w:ind w:left="284" w:hanging="284"/>
        <w:jc w:val="both"/>
        <w:outlineLvl w:val="2"/>
        <w:rPr>
          <w:rFonts w:ascii="Verdana" w:hAnsi="Verdana" w:cs="Arial"/>
          <w:b/>
          <w:bCs/>
          <w:sz w:val="20"/>
          <w:szCs w:val="20"/>
        </w:rPr>
      </w:pPr>
      <w:r w:rsidRPr="001B1E8E">
        <w:rPr>
          <w:rFonts w:ascii="Verdana" w:hAnsi="Verdana" w:cs="Arial"/>
          <w:b/>
          <w:bCs/>
          <w:sz w:val="20"/>
          <w:szCs w:val="20"/>
        </w:rPr>
        <w:lastRenderedPageBreak/>
        <w:t>Calificación que se puede utilizar cuando exista más de una calificación vigente otorgada por diferentes sociedades calificadoras de riesgo</w:t>
      </w:r>
    </w:p>
    <w:p w14:paraId="12842243" w14:textId="58C7391C" w:rsidR="006F7295" w:rsidRPr="00A2626A" w:rsidRDefault="006F7295" w:rsidP="006F7295">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F7508F">
        <w:rPr>
          <w:rFonts w:ascii="Verdana" w:hAnsi="Verdana" w:cs="Arial"/>
          <w:bCs/>
          <w:sz w:val="20"/>
          <w:szCs w:val="20"/>
        </w:rPr>
        <w:t>90</w:t>
      </w:r>
      <w:r w:rsidRPr="00A2626A">
        <w:rPr>
          <w:rFonts w:ascii="Verdana" w:hAnsi="Verdana" w:cs="Arial"/>
          <w:bCs/>
          <w:sz w:val="20"/>
          <w:szCs w:val="20"/>
        </w:rPr>
        <w:t>.</w:t>
      </w:r>
    </w:p>
    <w:p w14:paraId="5C4EF2DE" w14:textId="3A455CA3" w:rsidR="0021350F" w:rsidRPr="00923E21" w:rsidRDefault="0021350F" w:rsidP="001B1E8E">
      <w:pPr>
        <w:jc w:val="both"/>
        <w:outlineLvl w:val="0"/>
        <w:rPr>
          <w:rFonts w:ascii="Verdana" w:hAnsi="Verdana" w:cs="Arial"/>
          <w:sz w:val="20"/>
          <w:szCs w:val="20"/>
        </w:rPr>
      </w:pPr>
      <w:r w:rsidRPr="00923E21">
        <w:rPr>
          <w:rFonts w:ascii="Verdana" w:hAnsi="Verdana" w:cs="Arial"/>
          <w:sz w:val="20"/>
          <w:szCs w:val="20"/>
        </w:rPr>
        <w:t>Cuando un activo, exposición o contingencia tenga dos calificaciones vigentes otorgadas por diferentes calificadoras de riesgo asociadas a ponderaciones por riesgo diferentes, se aplicará la ponderación por riesgo más alta. Si existieran tres o más calificaciones con distintas ponderaciones por riesgo, se deben considerar las dos calificaciones con las ponderaciones por riesgo más bajas; si éstas arrojaran la misma ponderación por riesgo, debe aplicarse dicha ponderación; si la ponderación es diferente debe aplicarse la más alta.</w:t>
      </w:r>
    </w:p>
    <w:p w14:paraId="28BA5E61" w14:textId="1C6E2A3A" w:rsidR="0021350F" w:rsidRDefault="00C3141A" w:rsidP="00720D14">
      <w:pPr>
        <w:pStyle w:val="Titulo"/>
        <w:numPr>
          <w:ilvl w:val="0"/>
          <w:numId w:val="0"/>
        </w:numPr>
        <w:tabs>
          <w:tab w:val="left" w:pos="567"/>
        </w:tabs>
        <w:ind w:left="360" w:hanging="360"/>
        <w:jc w:val="both"/>
        <w:rPr>
          <w:rFonts w:ascii="Verdana" w:hAnsi="Verdana" w:cs="Arial"/>
          <w:b/>
          <w:sz w:val="20"/>
          <w:szCs w:val="20"/>
        </w:rPr>
      </w:pPr>
      <w:r w:rsidRPr="00923E21">
        <w:rPr>
          <w:rFonts w:ascii="Verdana" w:hAnsi="Verdana" w:cs="Arial"/>
          <w:b/>
          <w:sz w:val="20"/>
          <w:szCs w:val="20"/>
        </w:rPr>
        <w:t>VALOR DE LA EXPOSICIÓN POR RIESGO DE MERCADO</w:t>
      </w:r>
    </w:p>
    <w:p w14:paraId="1C5CD93E" w14:textId="77777777" w:rsidR="00720D14" w:rsidRPr="00720D14" w:rsidRDefault="00720D14" w:rsidP="00720D14">
      <w:pPr>
        <w:pStyle w:val="Titulo"/>
        <w:numPr>
          <w:ilvl w:val="0"/>
          <w:numId w:val="0"/>
        </w:numPr>
        <w:tabs>
          <w:tab w:val="left" w:pos="567"/>
        </w:tabs>
        <w:ind w:left="360" w:hanging="360"/>
        <w:jc w:val="both"/>
        <w:rPr>
          <w:rFonts w:ascii="Verdana" w:hAnsi="Verdana" w:cs="Arial"/>
          <w:b/>
          <w:sz w:val="20"/>
          <w:szCs w:val="20"/>
        </w:rPr>
      </w:pPr>
    </w:p>
    <w:p w14:paraId="4D169522" w14:textId="76134F7E" w:rsidR="006F7295" w:rsidRPr="00A2626A" w:rsidRDefault="006F7295" w:rsidP="006F7295">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720D14">
        <w:rPr>
          <w:rFonts w:ascii="Verdana" w:hAnsi="Verdana" w:cs="Arial"/>
          <w:bCs/>
          <w:sz w:val="20"/>
          <w:szCs w:val="20"/>
        </w:rPr>
        <w:t>91</w:t>
      </w:r>
    </w:p>
    <w:p w14:paraId="35D693D0" w14:textId="1D1DAC90" w:rsidR="0021350F" w:rsidRPr="00923E21" w:rsidRDefault="0021350F" w:rsidP="00C3141A">
      <w:pPr>
        <w:jc w:val="both"/>
        <w:rPr>
          <w:rFonts w:ascii="Verdana" w:hAnsi="Verdana" w:cs="Arial"/>
          <w:sz w:val="20"/>
          <w:szCs w:val="20"/>
        </w:rPr>
      </w:pPr>
      <w:r w:rsidRPr="00923E21">
        <w:rPr>
          <w:rFonts w:ascii="Verdana" w:hAnsi="Verdana" w:cs="Arial"/>
          <w:sz w:val="20"/>
          <w:szCs w:val="20"/>
        </w:rPr>
        <w:t xml:space="preserve">La medición de la exposición al riesgo de mercado se debe realizar conforme a las instrucciones establecidas en el </w:t>
      </w:r>
      <w:r w:rsidR="003A1434">
        <w:rPr>
          <w:rFonts w:ascii="Verdana" w:hAnsi="Verdana" w:cs="Arial"/>
          <w:sz w:val="20"/>
          <w:szCs w:val="20"/>
        </w:rPr>
        <w:t>capítulo 1 de la parte 1 de la CBRAPIF</w:t>
      </w:r>
      <w:r w:rsidRPr="00923E21">
        <w:rPr>
          <w:rFonts w:ascii="Verdana" w:hAnsi="Verdana" w:cs="Arial"/>
          <w:sz w:val="20"/>
          <w:szCs w:val="20"/>
        </w:rPr>
        <w:t>.</w:t>
      </w:r>
    </w:p>
    <w:p w14:paraId="03F164D6" w14:textId="02B6DF1E" w:rsidR="0021350F" w:rsidRPr="00923E21" w:rsidRDefault="00C3141A" w:rsidP="0021485C">
      <w:pPr>
        <w:pStyle w:val="Titulo"/>
        <w:numPr>
          <w:ilvl w:val="0"/>
          <w:numId w:val="0"/>
        </w:numPr>
        <w:tabs>
          <w:tab w:val="left" w:pos="567"/>
        </w:tabs>
        <w:ind w:left="360" w:hanging="360"/>
        <w:jc w:val="both"/>
        <w:rPr>
          <w:rFonts w:ascii="Verdana" w:hAnsi="Verdana" w:cs="Arial"/>
          <w:b/>
          <w:bCs/>
          <w:sz w:val="20"/>
          <w:szCs w:val="20"/>
        </w:rPr>
      </w:pPr>
      <w:r w:rsidRPr="00923E21">
        <w:rPr>
          <w:rFonts w:ascii="Verdana" w:hAnsi="Verdana" w:cs="Arial"/>
          <w:b/>
          <w:bCs/>
          <w:sz w:val="20"/>
          <w:szCs w:val="20"/>
        </w:rPr>
        <w:t>VALOR DE LA EXPOSICIÓN POR RIESGO OPERACIONAL</w:t>
      </w:r>
    </w:p>
    <w:p w14:paraId="5EB62A26" w14:textId="77777777" w:rsidR="0021350F" w:rsidRPr="0021485C" w:rsidRDefault="0021350F" w:rsidP="0021350F">
      <w:pPr>
        <w:pStyle w:val="Titulo"/>
        <w:numPr>
          <w:ilvl w:val="0"/>
          <w:numId w:val="0"/>
        </w:numPr>
        <w:tabs>
          <w:tab w:val="left" w:pos="708"/>
        </w:tabs>
        <w:jc w:val="both"/>
        <w:rPr>
          <w:rFonts w:ascii="Verdana" w:hAnsi="Verdana" w:cs="Arial"/>
          <w:bCs/>
          <w:snapToGrid w:val="0"/>
          <w:sz w:val="20"/>
          <w:szCs w:val="20"/>
          <w:lang w:val="es-ES_tradnl"/>
        </w:rPr>
      </w:pPr>
    </w:p>
    <w:p w14:paraId="0D7BEDCB" w14:textId="2D021112" w:rsidR="0021350F" w:rsidRPr="00DA0481" w:rsidRDefault="0021350F" w:rsidP="00DA0481">
      <w:pPr>
        <w:pStyle w:val="Titulo"/>
        <w:numPr>
          <w:ilvl w:val="0"/>
          <w:numId w:val="0"/>
        </w:numPr>
        <w:tabs>
          <w:tab w:val="left" w:pos="1134"/>
        </w:tabs>
        <w:ind w:left="360" w:hanging="360"/>
        <w:jc w:val="both"/>
        <w:rPr>
          <w:rFonts w:ascii="Verdana" w:hAnsi="Verdana" w:cs="Arial"/>
          <w:b/>
          <w:snapToGrid w:val="0"/>
          <w:sz w:val="20"/>
          <w:szCs w:val="20"/>
          <w:lang w:val="es-ES_tradnl"/>
        </w:rPr>
      </w:pPr>
      <w:r w:rsidRPr="00DA0481">
        <w:rPr>
          <w:rFonts w:ascii="Verdana" w:hAnsi="Verdana" w:cs="Arial"/>
          <w:b/>
          <w:snapToGrid w:val="0"/>
          <w:sz w:val="20"/>
          <w:szCs w:val="20"/>
          <w:lang w:val="es-ES_tradnl"/>
        </w:rPr>
        <w:t>Valor de la exposición al riesgo operacional</w:t>
      </w:r>
    </w:p>
    <w:p w14:paraId="665E2D21" w14:textId="77777777" w:rsidR="0021350F" w:rsidRPr="00923E21" w:rsidRDefault="0021350F" w:rsidP="0021350F">
      <w:pPr>
        <w:pStyle w:val="Titulo"/>
        <w:numPr>
          <w:ilvl w:val="0"/>
          <w:numId w:val="0"/>
        </w:numPr>
        <w:tabs>
          <w:tab w:val="left" w:pos="708"/>
        </w:tabs>
        <w:jc w:val="both"/>
        <w:rPr>
          <w:rFonts w:ascii="Verdana" w:hAnsi="Verdana" w:cs="Arial"/>
          <w:snapToGrid w:val="0"/>
          <w:sz w:val="20"/>
          <w:szCs w:val="20"/>
          <w:lang w:val="es-ES_tradnl"/>
        </w:rPr>
      </w:pPr>
    </w:p>
    <w:p w14:paraId="185CBE9A" w14:textId="6D5AFE5C" w:rsidR="006F7295" w:rsidRPr="00A2626A" w:rsidRDefault="006F7295" w:rsidP="006F7295">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E92B6B">
        <w:rPr>
          <w:rFonts w:ascii="Verdana" w:hAnsi="Verdana" w:cs="Arial"/>
          <w:bCs/>
          <w:sz w:val="20"/>
          <w:szCs w:val="20"/>
        </w:rPr>
        <w:t>9</w:t>
      </w:r>
      <w:r w:rsidR="00720D14">
        <w:rPr>
          <w:rFonts w:ascii="Verdana" w:hAnsi="Verdana" w:cs="Arial"/>
          <w:bCs/>
          <w:sz w:val="20"/>
          <w:szCs w:val="20"/>
        </w:rPr>
        <w:t>2</w:t>
      </w:r>
      <w:r w:rsidRPr="00A2626A">
        <w:rPr>
          <w:rFonts w:ascii="Verdana" w:hAnsi="Verdana" w:cs="Arial"/>
          <w:bCs/>
          <w:sz w:val="20"/>
          <w:szCs w:val="20"/>
        </w:rPr>
        <w:t>.</w:t>
      </w:r>
    </w:p>
    <w:p w14:paraId="45F64785" w14:textId="77777777" w:rsidR="0021350F" w:rsidRPr="00923E21" w:rsidRDefault="0021350F" w:rsidP="0021350F">
      <w:pPr>
        <w:pStyle w:val="Default"/>
        <w:jc w:val="both"/>
        <w:rPr>
          <w:rFonts w:ascii="Verdana" w:eastAsia="Times New Roman" w:hAnsi="Verdana"/>
          <w:snapToGrid w:val="0"/>
          <w:color w:val="auto"/>
          <w:sz w:val="20"/>
          <w:szCs w:val="20"/>
          <w:lang w:val="es-ES_tradnl" w:eastAsia="es-ES"/>
        </w:rPr>
      </w:pPr>
      <w:r w:rsidRPr="00923E21">
        <w:rPr>
          <w:rFonts w:ascii="Verdana" w:eastAsia="Times New Roman" w:hAnsi="Verdana"/>
          <w:snapToGrid w:val="0"/>
          <w:color w:val="auto"/>
          <w:sz w:val="20"/>
          <w:szCs w:val="20"/>
          <w:lang w:val="es-ES_tradnl" w:eastAsia="es-ES"/>
        </w:rPr>
        <w:t>De conformidad con lo previsto en el artículo 2.6.1.1.7 del Decreto 2555 de 2010, el valor de la exposición por riesgo operacional de las AFP será el 16% del valor resultante de considerar:</w:t>
      </w:r>
    </w:p>
    <w:p w14:paraId="14228ED0" w14:textId="77777777" w:rsidR="0021350F" w:rsidRPr="00923E21" w:rsidRDefault="0021350F" w:rsidP="0021350F">
      <w:pPr>
        <w:pStyle w:val="Default"/>
        <w:jc w:val="both"/>
        <w:rPr>
          <w:rFonts w:ascii="Verdana" w:eastAsia="Times New Roman" w:hAnsi="Verdana"/>
          <w:snapToGrid w:val="0"/>
          <w:color w:val="auto"/>
          <w:sz w:val="20"/>
          <w:szCs w:val="20"/>
          <w:lang w:val="es-ES_tradnl" w:eastAsia="es-ES"/>
        </w:rPr>
      </w:pPr>
    </w:p>
    <w:p w14:paraId="5A4790E6" w14:textId="77777777" w:rsidR="00DA0481" w:rsidRDefault="0021350F" w:rsidP="00DA0481">
      <w:pPr>
        <w:pStyle w:val="Default"/>
        <w:numPr>
          <w:ilvl w:val="0"/>
          <w:numId w:val="31"/>
        </w:numPr>
        <w:ind w:left="567" w:hanging="567"/>
        <w:jc w:val="both"/>
        <w:rPr>
          <w:rFonts w:ascii="Verdana" w:eastAsia="Times New Roman" w:hAnsi="Verdana"/>
          <w:snapToGrid w:val="0"/>
          <w:color w:val="auto"/>
          <w:sz w:val="20"/>
          <w:szCs w:val="20"/>
          <w:lang w:val="es-ES" w:eastAsia="es-ES"/>
        </w:rPr>
      </w:pPr>
      <w:r w:rsidRPr="0050A195">
        <w:rPr>
          <w:rFonts w:ascii="Verdana" w:eastAsia="Times New Roman" w:hAnsi="Verdana"/>
          <w:snapToGrid w:val="0"/>
          <w:color w:val="auto"/>
          <w:sz w:val="20"/>
          <w:szCs w:val="20"/>
          <w:lang w:val="es-ES" w:eastAsia="es-ES"/>
        </w:rPr>
        <w:t>Sumar los ingresos por comisiones provenientes de la administración de activos que se realice a través de contratos de fondos de pensiones obligatorias, fondos de cesantías, Fondos Voluntarios de Pensión, Fondo Nacional de Pensiones de las Entidades Territoriales (Fonpet) y negocios fiduciarios sobre pasivos pensionales.</w:t>
      </w:r>
    </w:p>
    <w:p w14:paraId="2C5EC87F" w14:textId="77777777" w:rsidR="00DA0481" w:rsidRDefault="00DA0481" w:rsidP="00DA0481">
      <w:pPr>
        <w:pStyle w:val="Default"/>
        <w:ind w:left="567"/>
        <w:jc w:val="both"/>
        <w:rPr>
          <w:rFonts w:ascii="Verdana" w:eastAsia="Times New Roman" w:hAnsi="Verdana"/>
          <w:snapToGrid w:val="0"/>
          <w:color w:val="auto"/>
          <w:sz w:val="20"/>
          <w:szCs w:val="20"/>
          <w:lang w:val="es-ES" w:eastAsia="es-ES"/>
        </w:rPr>
      </w:pPr>
    </w:p>
    <w:p w14:paraId="4282A19F" w14:textId="7D8A6030" w:rsidR="0021350F" w:rsidRPr="00DA0481" w:rsidRDefault="0021350F" w:rsidP="00DA0481">
      <w:pPr>
        <w:pStyle w:val="Default"/>
        <w:numPr>
          <w:ilvl w:val="0"/>
          <w:numId w:val="31"/>
        </w:numPr>
        <w:ind w:left="567" w:hanging="567"/>
        <w:jc w:val="both"/>
        <w:rPr>
          <w:rFonts w:ascii="Verdana" w:eastAsia="Times New Roman" w:hAnsi="Verdana"/>
          <w:snapToGrid w:val="0"/>
          <w:color w:val="auto"/>
          <w:sz w:val="20"/>
          <w:szCs w:val="20"/>
          <w:lang w:val="es-ES" w:eastAsia="es-ES"/>
        </w:rPr>
      </w:pPr>
      <w:r w:rsidRPr="00DA0481">
        <w:rPr>
          <w:rFonts w:ascii="Verdana" w:eastAsia="Times New Roman" w:hAnsi="Verdana"/>
          <w:snapToGrid w:val="0"/>
          <w:color w:val="auto"/>
          <w:sz w:val="20"/>
          <w:szCs w:val="20"/>
          <w:lang w:val="es-ES_tradnl" w:eastAsia="es-ES"/>
        </w:rPr>
        <w:t xml:space="preserve">Deducir los gastos por comisiones causados por la custodia de valores de que trata el Libro 37 de la Parte 2 del Decreto 2555 de 2010, respecto de los valores administrados bajo los contratos a que hace referencia el </w:t>
      </w:r>
      <w:r w:rsidR="00356330">
        <w:rPr>
          <w:rFonts w:ascii="Verdana" w:eastAsia="Times New Roman" w:hAnsi="Verdana"/>
          <w:snapToGrid w:val="0"/>
          <w:color w:val="auto"/>
          <w:sz w:val="20"/>
          <w:szCs w:val="20"/>
          <w:lang w:val="es-ES_tradnl" w:eastAsia="es-ES"/>
        </w:rPr>
        <w:t xml:space="preserve">literal (a) anterior. </w:t>
      </w:r>
    </w:p>
    <w:p w14:paraId="287F2F9F" w14:textId="77777777" w:rsidR="0021350F" w:rsidRPr="00923E21" w:rsidRDefault="0021350F" w:rsidP="0021350F">
      <w:pPr>
        <w:pStyle w:val="Default"/>
        <w:jc w:val="both"/>
        <w:rPr>
          <w:rFonts w:ascii="Verdana" w:eastAsia="Times New Roman" w:hAnsi="Verdana"/>
          <w:snapToGrid w:val="0"/>
          <w:color w:val="auto"/>
          <w:sz w:val="20"/>
          <w:szCs w:val="20"/>
          <w:lang w:val="es-ES_tradnl" w:eastAsia="es-ES"/>
        </w:rPr>
      </w:pPr>
    </w:p>
    <w:p w14:paraId="63864F32" w14:textId="780991C0" w:rsidR="006F7295" w:rsidRPr="00A2626A" w:rsidRDefault="006F7295" w:rsidP="006F7295">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sidR="00E92B6B">
        <w:rPr>
          <w:rFonts w:ascii="Verdana" w:hAnsi="Verdana" w:cs="Arial"/>
          <w:bCs/>
          <w:sz w:val="20"/>
          <w:szCs w:val="20"/>
        </w:rPr>
        <w:t>9</w:t>
      </w:r>
      <w:r w:rsidR="00720D14">
        <w:rPr>
          <w:rFonts w:ascii="Verdana" w:hAnsi="Verdana" w:cs="Arial"/>
          <w:bCs/>
          <w:sz w:val="20"/>
          <w:szCs w:val="20"/>
        </w:rPr>
        <w:t>3</w:t>
      </w:r>
      <w:r w:rsidRPr="00A2626A">
        <w:rPr>
          <w:rFonts w:ascii="Verdana" w:hAnsi="Verdana" w:cs="Arial"/>
          <w:bCs/>
          <w:sz w:val="20"/>
          <w:szCs w:val="20"/>
        </w:rPr>
        <w:t>.</w:t>
      </w:r>
    </w:p>
    <w:p w14:paraId="3252BEF4" w14:textId="106E306E" w:rsidR="0021350F" w:rsidRPr="00923E21" w:rsidRDefault="0021350F" w:rsidP="0021350F">
      <w:pPr>
        <w:pStyle w:val="Titulo"/>
        <w:numPr>
          <w:ilvl w:val="0"/>
          <w:numId w:val="0"/>
        </w:numPr>
        <w:tabs>
          <w:tab w:val="left" w:pos="708"/>
        </w:tabs>
        <w:jc w:val="both"/>
        <w:rPr>
          <w:rFonts w:ascii="Verdana" w:hAnsi="Verdana" w:cs="Arial"/>
          <w:snapToGrid w:val="0"/>
          <w:sz w:val="20"/>
          <w:szCs w:val="20"/>
          <w:lang w:val="es-ES_tradnl"/>
        </w:rPr>
      </w:pPr>
      <w:r w:rsidRPr="00923E21">
        <w:rPr>
          <w:rFonts w:ascii="Verdana" w:hAnsi="Verdana" w:cs="Arial"/>
          <w:snapToGrid w:val="0"/>
          <w:sz w:val="20"/>
          <w:szCs w:val="20"/>
          <w:lang w:val="es-ES_tradnl"/>
        </w:rPr>
        <w:t xml:space="preserve">Así mismo, según se establece en el parágrafo 1 del artículo 2.6.1.1.7 del Decreto 2555 de 2010, las entidades que cuenten con una adecuada gestión del riesgo operacional, respecto de uno o varios de los contratos a que se refiere el </w:t>
      </w:r>
      <w:r w:rsidR="0063440D">
        <w:rPr>
          <w:rFonts w:ascii="Verdana" w:hAnsi="Verdana" w:cs="Arial"/>
          <w:snapToGrid w:val="0"/>
          <w:sz w:val="20"/>
          <w:szCs w:val="20"/>
          <w:lang w:val="es-ES_tradnl"/>
        </w:rPr>
        <w:t>literal (a) del párrafo 2.4.3.92.</w:t>
      </w:r>
      <w:r w:rsidRPr="00923E21">
        <w:rPr>
          <w:rFonts w:ascii="Verdana" w:hAnsi="Verdana" w:cs="Arial"/>
          <w:snapToGrid w:val="0"/>
          <w:sz w:val="20"/>
          <w:szCs w:val="20"/>
          <w:lang w:val="es-ES_tradnl"/>
        </w:rPr>
        <w:t xml:space="preserve">, podrán disminuir de manera diferencial el valor de exposición al riesgo operacional que en forma particular aplique respecto de cada uno de estos contratos. Lo </w:t>
      </w:r>
      <w:r w:rsidRPr="000B40E0">
        <w:rPr>
          <w:rFonts w:ascii="Verdana" w:hAnsi="Verdana" w:cs="Arial"/>
          <w:snapToGrid w:val="0"/>
          <w:sz w:val="20"/>
          <w:szCs w:val="20"/>
          <w:lang w:val="es-ES_tradnl"/>
        </w:rPr>
        <w:t xml:space="preserve">anterior, en consideración al cumplimiento de los criterios establecidos por esta Superintendencia en la “Autoevaluación para Determinar el Factor de Ponderación para el Cálculo del Valor de la Exposición por Riesgo Operacional” que se encuentra disponible en el anexo 14 del </w:t>
      </w:r>
      <w:r w:rsidR="000B40E0">
        <w:rPr>
          <w:rFonts w:ascii="Verdana" w:hAnsi="Verdana" w:cs="Arial"/>
          <w:snapToGrid w:val="0"/>
          <w:sz w:val="20"/>
          <w:szCs w:val="20"/>
          <w:lang w:val="es-ES_tradnl"/>
        </w:rPr>
        <w:t>capítulo 1 de la parte 1 de la CBRAPIF</w:t>
      </w:r>
      <w:r w:rsidRPr="000B40E0">
        <w:rPr>
          <w:rFonts w:ascii="Verdana" w:hAnsi="Verdana" w:cs="Arial"/>
          <w:snapToGrid w:val="0"/>
          <w:sz w:val="20"/>
          <w:szCs w:val="20"/>
          <w:lang w:val="es-ES_tradnl"/>
        </w:rPr>
        <w:t>.</w:t>
      </w:r>
    </w:p>
    <w:p w14:paraId="2B746877" w14:textId="77777777" w:rsidR="0021350F" w:rsidRPr="00923E21" w:rsidRDefault="0021350F" w:rsidP="0021350F">
      <w:pPr>
        <w:pStyle w:val="Titulo"/>
        <w:numPr>
          <w:ilvl w:val="0"/>
          <w:numId w:val="0"/>
        </w:numPr>
        <w:tabs>
          <w:tab w:val="left" w:pos="708"/>
        </w:tabs>
        <w:jc w:val="both"/>
        <w:rPr>
          <w:rFonts w:ascii="Verdana" w:hAnsi="Verdana" w:cs="Arial"/>
          <w:snapToGrid w:val="0"/>
          <w:sz w:val="20"/>
          <w:szCs w:val="20"/>
          <w:lang w:val="es-ES_tradnl"/>
        </w:rPr>
      </w:pPr>
    </w:p>
    <w:p w14:paraId="1D9D0F4A" w14:textId="2A543603" w:rsidR="006F7295" w:rsidRPr="00A2626A" w:rsidRDefault="006F7295" w:rsidP="006F7295">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9</w:t>
      </w:r>
      <w:r w:rsidR="00720D14">
        <w:rPr>
          <w:rFonts w:ascii="Verdana" w:hAnsi="Verdana" w:cs="Arial"/>
          <w:bCs/>
          <w:sz w:val="20"/>
          <w:szCs w:val="20"/>
        </w:rPr>
        <w:t>4</w:t>
      </w:r>
      <w:r w:rsidRPr="00A2626A">
        <w:rPr>
          <w:rFonts w:ascii="Verdana" w:hAnsi="Verdana" w:cs="Arial"/>
          <w:bCs/>
          <w:sz w:val="20"/>
          <w:szCs w:val="20"/>
        </w:rPr>
        <w:t>.</w:t>
      </w:r>
    </w:p>
    <w:p w14:paraId="2BD85E32" w14:textId="77777777" w:rsidR="0021350F" w:rsidRPr="00923E21" w:rsidRDefault="0021350F" w:rsidP="0050A195">
      <w:pPr>
        <w:pStyle w:val="Titulo"/>
        <w:numPr>
          <w:ilvl w:val="0"/>
          <w:numId w:val="0"/>
        </w:numPr>
        <w:tabs>
          <w:tab w:val="left" w:pos="708"/>
        </w:tabs>
        <w:jc w:val="both"/>
        <w:rPr>
          <w:rFonts w:ascii="Verdana" w:hAnsi="Verdana" w:cs="Arial"/>
          <w:snapToGrid w:val="0"/>
          <w:sz w:val="20"/>
          <w:szCs w:val="20"/>
        </w:rPr>
      </w:pPr>
      <w:r w:rsidRPr="0050A195">
        <w:rPr>
          <w:rFonts w:ascii="Verdana" w:hAnsi="Verdana" w:cs="Arial"/>
          <w:snapToGrid w:val="0"/>
          <w:sz w:val="20"/>
          <w:szCs w:val="20"/>
        </w:rPr>
        <w:t>El factor de ponderación obtenido en la referida autoevaluación debe ser utilizado para determinar del valor de la exposición por riesgo operacional a que se refiere el Decreto 2555 de 2010 y, en consecuencia, para el cálculo de la relación de solvencia. En todo caso, el valor de la exposición por riesgo operacional no podrá ser inferior al 12%.</w:t>
      </w:r>
    </w:p>
    <w:p w14:paraId="02E56C87" w14:textId="77777777" w:rsidR="00720D14" w:rsidRDefault="00720D14" w:rsidP="00DA0481">
      <w:pPr>
        <w:pStyle w:val="Titulo"/>
        <w:numPr>
          <w:ilvl w:val="0"/>
          <w:numId w:val="0"/>
        </w:numPr>
        <w:tabs>
          <w:tab w:val="left" w:pos="993"/>
        </w:tabs>
        <w:jc w:val="both"/>
        <w:rPr>
          <w:rFonts w:ascii="Verdana" w:hAnsi="Verdana" w:cs="Arial"/>
          <w:b/>
          <w:bCs/>
          <w:sz w:val="20"/>
          <w:szCs w:val="20"/>
        </w:rPr>
      </w:pPr>
    </w:p>
    <w:p w14:paraId="3FCF004F" w14:textId="29357565" w:rsidR="0021350F" w:rsidRPr="00DA0481" w:rsidRDefault="0021350F" w:rsidP="00DA0481">
      <w:pPr>
        <w:pStyle w:val="Titulo"/>
        <w:numPr>
          <w:ilvl w:val="0"/>
          <w:numId w:val="0"/>
        </w:numPr>
        <w:tabs>
          <w:tab w:val="left" w:pos="993"/>
        </w:tabs>
        <w:jc w:val="both"/>
        <w:rPr>
          <w:rFonts w:ascii="Verdana" w:hAnsi="Verdana" w:cs="Arial"/>
          <w:b/>
          <w:bCs/>
          <w:sz w:val="20"/>
          <w:szCs w:val="20"/>
        </w:rPr>
      </w:pPr>
      <w:r w:rsidRPr="00DA0481">
        <w:rPr>
          <w:rFonts w:ascii="Verdana" w:hAnsi="Verdana" w:cs="Arial"/>
          <w:b/>
          <w:bCs/>
          <w:sz w:val="20"/>
          <w:szCs w:val="20"/>
        </w:rPr>
        <w:t>Cálculo del cociente de ingresos y gastos por comisiones para los nuevos administradores o entidades con información insuficiente</w:t>
      </w:r>
    </w:p>
    <w:p w14:paraId="034B9BA3" w14:textId="77777777" w:rsidR="0021350F" w:rsidRPr="008256C8" w:rsidRDefault="0021350F" w:rsidP="0021350F">
      <w:pPr>
        <w:pStyle w:val="Titulo"/>
        <w:numPr>
          <w:ilvl w:val="0"/>
          <w:numId w:val="0"/>
        </w:numPr>
        <w:tabs>
          <w:tab w:val="num" w:pos="426"/>
        </w:tabs>
        <w:jc w:val="both"/>
        <w:rPr>
          <w:rFonts w:ascii="Verdana" w:hAnsi="Verdana" w:cs="Arial"/>
          <w:color w:val="000000"/>
          <w:sz w:val="20"/>
          <w:szCs w:val="20"/>
        </w:rPr>
      </w:pPr>
    </w:p>
    <w:p w14:paraId="56B7F1A7" w14:textId="1A8B9B29" w:rsidR="006F7295" w:rsidRPr="00A2626A" w:rsidRDefault="006F7295" w:rsidP="006F7295">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9</w:t>
      </w:r>
      <w:r w:rsidR="00720D14">
        <w:rPr>
          <w:rFonts w:ascii="Verdana" w:hAnsi="Verdana" w:cs="Arial"/>
          <w:bCs/>
          <w:sz w:val="20"/>
          <w:szCs w:val="20"/>
        </w:rPr>
        <w:t>5</w:t>
      </w:r>
      <w:r w:rsidRPr="00A2626A">
        <w:rPr>
          <w:rFonts w:ascii="Verdana" w:hAnsi="Verdana" w:cs="Arial"/>
          <w:bCs/>
          <w:sz w:val="20"/>
          <w:szCs w:val="20"/>
        </w:rPr>
        <w:t>.</w:t>
      </w:r>
    </w:p>
    <w:p w14:paraId="069E73E4" w14:textId="77777777" w:rsidR="0021350F" w:rsidRPr="00923E21" w:rsidRDefault="0021350F" w:rsidP="0021350F">
      <w:pPr>
        <w:pStyle w:val="Titulo"/>
        <w:numPr>
          <w:ilvl w:val="0"/>
          <w:numId w:val="0"/>
        </w:numPr>
        <w:tabs>
          <w:tab w:val="left" w:pos="708"/>
        </w:tabs>
        <w:jc w:val="both"/>
        <w:rPr>
          <w:rFonts w:ascii="Verdana" w:hAnsi="Verdana" w:cs="Arial"/>
          <w:color w:val="000000"/>
          <w:sz w:val="20"/>
          <w:szCs w:val="20"/>
        </w:rPr>
      </w:pPr>
      <w:r w:rsidRPr="00923E21">
        <w:rPr>
          <w:rFonts w:ascii="Verdana" w:hAnsi="Verdana" w:cs="Arial"/>
          <w:color w:val="000000"/>
          <w:sz w:val="20"/>
          <w:szCs w:val="20"/>
        </w:rPr>
        <w:t>Para los nuevos administradores o para aquellos que no tengan información de los 36 meses anteriores a la fecha de cálculo, previa solicitud de la entidad o de considerarlo necesario, la SFC publicará el cociente de ingresos y gastos por comisiones de administración, dependiendo del tipo de entidad y de actividad, cuando así se requiera.</w:t>
      </w:r>
    </w:p>
    <w:p w14:paraId="07D0A3BD" w14:textId="77777777" w:rsidR="0021350F" w:rsidRPr="00923E21" w:rsidRDefault="0021350F" w:rsidP="0021350F">
      <w:pPr>
        <w:pStyle w:val="Titulo"/>
        <w:numPr>
          <w:ilvl w:val="0"/>
          <w:numId w:val="0"/>
        </w:numPr>
        <w:tabs>
          <w:tab w:val="left" w:pos="708"/>
        </w:tabs>
        <w:jc w:val="both"/>
        <w:rPr>
          <w:rFonts w:ascii="Verdana" w:hAnsi="Verdana" w:cs="Arial"/>
          <w:snapToGrid w:val="0"/>
          <w:sz w:val="20"/>
          <w:szCs w:val="20"/>
        </w:rPr>
      </w:pPr>
    </w:p>
    <w:p w14:paraId="18FBC2EC" w14:textId="05848E65" w:rsidR="003007A3" w:rsidRPr="00A2626A" w:rsidRDefault="003007A3" w:rsidP="003007A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9</w:t>
      </w:r>
      <w:r w:rsidR="00720D14">
        <w:rPr>
          <w:rFonts w:ascii="Verdana" w:hAnsi="Verdana" w:cs="Arial"/>
          <w:bCs/>
          <w:sz w:val="20"/>
          <w:szCs w:val="20"/>
        </w:rPr>
        <w:t>6</w:t>
      </w:r>
      <w:r w:rsidRPr="00A2626A">
        <w:rPr>
          <w:rFonts w:ascii="Verdana" w:hAnsi="Verdana" w:cs="Arial"/>
          <w:bCs/>
          <w:sz w:val="20"/>
          <w:szCs w:val="20"/>
        </w:rPr>
        <w:t>.</w:t>
      </w:r>
    </w:p>
    <w:p w14:paraId="558E59B9" w14:textId="52B34CD8" w:rsidR="0021350F" w:rsidRPr="00DA0481" w:rsidRDefault="0021350F" w:rsidP="00DA0481">
      <w:pPr>
        <w:pStyle w:val="Titulo"/>
        <w:numPr>
          <w:ilvl w:val="0"/>
          <w:numId w:val="0"/>
        </w:numPr>
        <w:tabs>
          <w:tab w:val="left" w:pos="708"/>
        </w:tabs>
        <w:jc w:val="both"/>
        <w:rPr>
          <w:rFonts w:ascii="Verdana" w:hAnsi="Verdana" w:cs="Arial"/>
          <w:snapToGrid w:val="0"/>
          <w:sz w:val="20"/>
          <w:szCs w:val="20"/>
          <w:lang w:val="es-MX"/>
        </w:rPr>
      </w:pPr>
      <w:r w:rsidRPr="00923E21">
        <w:rPr>
          <w:rFonts w:ascii="Verdana" w:hAnsi="Verdana" w:cs="Arial"/>
          <w:snapToGrid w:val="0"/>
          <w:sz w:val="20"/>
          <w:szCs w:val="20"/>
          <w:lang w:val="es-MX"/>
        </w:rPr>
        <w:t>Para aquellas entidades, el cálculo del cociente de ingresos y gastos por comisiones de los contratos administrados se realizará de la siguiente manera:</w:t>
      </w:r>
    </w:p>
    <w:p w14:paraId="51150112" w14:textId="77777777" w:rsidR="0021350F" w:rsidRPr="00923E21" w:rsidRDefault="0021350F" w:rsidP="0021350F">
      <w:pPr>
        <w:pStyle w:val="Default"/>
        <w:jc w:val="both"/>
        <w:rPr>
          <w:rFonts w:ascii="Verdana" w:hAnsi="Verdana"/>
          <w:snapToGrid w:val="0"/>
          <w:color w:val="auto"/>
          <w:sz w:val="20"/>
          <w:szCs w:val="20"/>
          <w:lang w:eastAsia="es-ES"/>
        </w:rPr>
      </w:pPr>
    </w:p>
    <w:p w14:paraId="2DD6FAD6" w14:textId="77777777" w:rsidR="0021350F" w:rsidRPr="00923E21" w:rsidRDefault="0021350F" w:rsidP="0021350F">
      <w:pPr>
        <w:pStyle w:val="Titulo"/>
        <w:numPr>
          <w:ilvl w:val="0"/>
          <w:numId w:val="0"/>
        </w:numPr>
        <w:tabs>
          <w:tab w:val="left" w:pos="708"/>
        </w:tabs>
        <w:jc w:val="both"/>
        <w:rPr>
          <w:rFonts w:ascii="Verdana" w:hAnsi="Verdana" w:cs="Arial"/>
          <w:bCs/>
          <w:snapToGrid w:val="0"/>
          <w:sz w:val="20"/>
          <w:szCs w:val="20"/>
          <w:lang w:val="es-MX"/>
        </w:rPr>
      </w:pPr>
      <m:oMathPara>
        <m:oMath>
          <m:r>
            <w:rPr>
              <w:rFonts w:ascii="Cambria Math" w:hAnsi="Cambria Math"/>
              <w:snapToGrid w:val="0"/>
              <w:sz w:val="20"/>
              <w:szCs w:val="20"/>
            </w:rPr>
            <m:t>CIG=</m:t>
          </m:r>
          <m:f>
            <m:fPr>
              <m:ctrlPr>
                <w:rPr>
                  <w:rFonts w:ascii="Cambria Math" w:eastAsia="Calibri" w:hAnsi="Cambria Math" w:cs="Arial"/>
                  <w:i/>
                  <w:snapToGrid w:val="0"/>
                  <w:sz w:val="20"/>
                  <w:szCs w:val="20"/>
                  <w:lang w:val="es-CO"/>
                </w:rPr>
              </m:ctrlPr>
            </m:fPr>
            <m:num>
              <m:r>
                <w:rPr>
                  <w:rFonts w:ascii="Cambria Math" w:hAnsi="Cambria Math"/>
                  <w:snapToGrid w:val="0"/>
                  <w:sz w:val="20"/>
                  <w:szCs w:val="20"/>
                </w:rPr>
                <m:t>PAIG</m:t>
              </m:r>
            </m:num>
            <m:den>
              <m:r>
                <w:rPr>
                  <w:rFonts w:ascii="Cambria Math" w:hAnsi="Cambria Math"/>
                  <w:snapToGrid w:val="0"/>
                  <w:sz w:val="20"/>
                  <w:szCs w:val="20"/>
                </w:rPr>
                <m:t>PMA</m:t>
              </m:r>
            </m:den>
          </m:f>
        </m:oMath>
      </m:oMathPara>
    </w:p>
    <w:p w14:paraId="2B61C1C7" w14:textId="77777777" w:rsidR="0021350F" w:rsidRPr="00923E21" w:rsidRDefault="0021350F" w:rsidP="0021350F">
      <w:pPr>
        <w:pStyle w:val="Default"/>
        <w:jc w:val="both"/>
        <w:rPr>
          <w:rFonts w:ascii="Verdana" w:hAnsi="Verdana"/>
          <w:snapToGrid w:val="0"/>
          <w:color w:val="auto"/>
          <w:sz w:val="20"/>
          <w:szCs w:val="20"/>
          <w:lang w:eastAsia="es-ES"/>
        </w:rPr>
      </w:pPr>
    </w:p>
    <w:p w14:paraId="6053C78F" w14:textId="3398E249" w:rsidR="0021350F" w:rsidRPr="00923E21" w:rsidRDefault="0021350F" w:rsidP="0021350F">
      <w:pPr>
        <w:pStyle w:val="Default"/>
        <w:jc w:val="both"/>
        <w:rPr>
          <w:rFonts w:ascii="Verdana" w:hAnsi="Verdana"/>
          <w:snapToGrid w:val="0"/>
          <w:color w:val="auto"/>
          <w:sz w:val="20"/>
          <w:szCs w:val="20"/>
          <w:lang w:eastAsia="es-ES"/>
        </w:rPr>
      </w:pPr>
      <w:r w:rsidRPr="00923E21">
        <w:rPr>
          <w:rFonts w:ascii="Verdana" w:hAnsi="Verdana"/>
          <w:snapToGrid w:val="0"/>
          <w:color w:val="auto"/>
          <w:sz w:val="20"/>
          <w:szCs w:val="20"/>
          <w:lang w:eastAsia="es-ES"/>
        </w:rPr>
        <w:t>Donde</w:t>
      </w:r>
      <w:r w:rsidR="00DA0481">
        <w:rPr>
          <w:rFonts w:ascii="Verdana" w:hAnsi="Verdana"/>
          <w:snapToGrid w:val="0"/>
          <w:color w:val="auto"/>
          <w:sz w:val="20"/>
          <w:szCs w:val="20"/>
          <w:lang w:eastAsia="es-ES"/>
        </w:rPr>
        <w:t>:</w:t>
      </w:r>
    </w:p>
    <w:p w14:paraId="091B91BE" w14:textId="77777777" w:rsidR="0021350F" w:rsidRPr="00923E21" w:rsidRDefault="0021350F" w:rsidP="0021350F">
      <w:pPr>
        <w:pStyle w:val="Default"/>
        <w:jc w:val="both"/>
        <w:rPr>
          <w:rFonts w:ascii="Verdana" w:hAnsi="Verdana"/>
          <w:snapToGrid w:val="0"/>
          <w:color w:val="auto"/>
          <w:sz w:val="20"/>
          <w:szCs w:val="20"/>
          <w:lang w:eastAsia="es-ES"/>
        </w:rPr>
      </w:pPr>
    </w:p>
    <w:p w14:paraId="01B2E2DF" w14:textId="7F886039" w:rsidR="0021350F" w:rsidRPr="00923E21" w:rsidRDefault="00DA0481" w:rsidP="0021350F">
      <w:pPr>
        <w:pStyle w:val="Default"/>
        <w:ind w:left="851" w:hanging="851"/>
        <w:jc w:val="both"/>
        <w:rPr>
          <w:rFonts w:ascii="Verdana" w:hAnsi="Verdana"/>
          <w:sz w:val="20"/>
          <w:szCs w:val="20"/>
        </w:rPr>
      </w:pPr>
      <m:oMath>
        <m:r>
          <w:rPr>
            <w:rFonts w:ascii="Cambria Math" w:hAnsi="Cambria Math"/>
            <w:snapToGrid w:val="0"/>
            <w:sz w:val="20"/>
            <w:szCs w:val="20"/>
          </w:rPr>
          <m:t>CIG</m:t>
        </m:r>
      </m:oMath>
      <w:r>
        <w:rPr>
          <w:rFonts w:ascii="Verdana" w:hAnsi="Verdana"/>
          <w:bCs/>
          <w:snapToGrid w:val="0"/>
          <w:color w:val="auto"/>
          <w:sz w:val="20"/>
          <w:szCs w:val="20"/>
          <w:lang w:val="es-MX" w:eastAsia="es-ES"/>
        </w:rPr>
        <w:t>: es el c</w:t>
      </w:r>
      <w:r w:rsidR="0021350F" w:rsidRPr="00923E21">
        <w:rPr>
          <w:rFonts w:ascii="Verdana" w:hAnsi="Verdana"/>
          <w:snapToGrid w:val="0"/>
          <w:color w:val="auto"/>
          <w:sz w:val="20"/>
          <w:szCs w:val="20"/>
          <w:lang w:val="es-MX" w:eastAsia="es-ES"/>
        </w:rPr>
        <w:t>ociente de ingresos y gastos por comisiones de administración.</w:t>
      </w:r>
    </w:p>
    <w:p w14:paraId="46B62502" w14:textId="77777777" w:rsidR="0021350F" w:rsidRPr="00DA0481" w:rsidRDefault="0021350F" w:rsidP="0021350F">
      <w:pPr>
        <w:pStyle w:val="Default"/>
        <w:jc w:val="both"/>
        <w:rPr>
          <w:rFonts w:ascii="Verdana" w:hAnsi="Verdana"/>
          <w:snapToGrid w:val="0"/>
          <w:color w:val="auto"/>
          <w:sz w:val="20"/>
          <w:szCs w:val="20"/>
          <w:lang w:eastAsia="es-ES"/>
        </w:rPr>
      </w:pPr>
    </w:p>
    <w:p w14:paraId="54B686B5" w14:textId="0B536029" w:rsidR="0021350F" w:rsidRPr="00923E21" w:rsidRDefault="00DA0481" w:rsidP="00DA0481">
      <w:pPr>
        <w:pStyle w:val="Default"/>
        <w:jc w:val="both"/>
        <w:rPr>
          <w:rFonts w:ascii="Verdana" w:hAnsi="Verdana"/>
          <w:snapToGrid w:val="0"/>
          <w:color w:val="auto"/>
          <w:sz w:val="20"/>
          <w:szCs w:val="20"/>
          <w:lang w:val="es-MX" w:eastAsia="es-ES"/>
        </w:rPr>
      </w:pPr>
      <m:oMath>
        <m:r>
          <w:rPr>
            <w:rFonts w:ascii="Cambria Math" w:hAnsi="Cambria Math"/>
            <w:snapToGrid w:val="0"/>
            <w:sz w:val="20"/>
            <w:szCs w:val="20"/>
          </w:rPr>
          <m:t>PAIG</m:t>
        </m:r>
      </m:oMath>
      <w:r>
        <w:rPr>
          <w:rFonts w:ascii="Verdana" w:hAnsi="Verdana"/>
          <w:bCs/>
          <w:snapToGrid w:val="0"/>
          <w:color w:val="auto"/>
          <w:sz w:val="20"/>
          <w:szCs w:val="20"/>
          <w:lang w:val="es-MX" w:eastAsia="es-ES"/>
        </w:rPr>
        <w:t>:</w:t>
      </w:r>
      <w:r>
        <w:rPr>
          <w:rFonts w:ascii="Verdana" w:hAnsi="Verdana"/>
          <w:snapToGrid w:val="0"/>
          <w:color w:val="auto"/>
          <w:sz w:val="20"/>
          <w:szCs w:val="20"/>
          <w:lang w:val="es-MX" w:eastAsia="es-ES"/>
        </w:rPr>
        <w:t xml:space="preserve"> es el p</w:t>
      </w:r>
      <w:r w:rsidR="0021350F" w:rsidRPr="00923E21">
        <w:rPr>
          <w:rFonts w:ascii="Verdana" w:hAnsi="Verdana"/>
          <w:snapToGrid w:val="0"/>
          <w:color w:val="auto"/>
          <w:sz w:val="20"/>
          <w:szCs w:val="20"/>
          <w:lang w:val="es-MX" w:eastAsia="es-ES"/>
        </w:rPr>
        <w:t>romedio anual de los últimos 36 meses de los ingresos por comisiones de los contratos administrados menos los gastos por concepto de custodia de valores.</w:t>
      </w:r>
    </w:p>
    <w:p w14:paraId="795ABB72" w14:textId="77777777" w:rsidR="0021350F" w:rsidRPr="00923E21" w:rsidRDefault="0021350F" w:rsidP="0021350F">
      <w:pPr>
        <w:pStyle w:val="Default"/>
        <w:ind w:left="720" w:hanging="720"/>
        <w:jc w:val="both"/>
        <w:rPr>
          <w:rFonts w:ascii="Verdana" w:hAnsi="Verdana"/>
          <w:snapToGrid w:val="0"/>
          <w:color w:val="auto"/>
          <w:sz w:val="20"/>
          <w:szCs w:val="20"/>
          <w:lang w:val="es-MX" w:eastAsia="es-ES"/>
        </w:rPr>
      </w:pPr>
    </w:p>
    <w:p w14:paraId="28D6019F" w14:textId="530DE066" w:rsidR="0021350F" w:rsidRPr="00923E21" w:rsidRDefault="00DA0481" w:rsidP="00DA0481">
      <w:pPr>
        <w:pStyle w:val="Default"/>
        <w:jc w:val="both"/>
        <w:rPr>
          <w:rFonts w:ascii="Verdana" w:hAnsi="Verdana"/>
          <w:sz w:val="20"/>
          <w:szCs w:val="20"/>
        </w:rPr>
      </w:pPr>
      <m:oMath>
        <m:r>
          <w:rPr>
            <w:rFonts w:ascii="Cambria Math" w:hAnsi="Cambria Math"/>
            <w:snapToGrid w:val="0"/>
            <w:sz w:val="20"/>
            <w:szCs w:val="20"/>
          </w:rPr>
          <m:t>PMA</m:t>
        </m:r>
      </m:oMath>
      <w:r>
        <w:rPr>
          <w:rFonts w:ascii="Verdana" w:hAnsi="Verdana"/>
          <w:bCs/>
          <w:snapToGrid w:val="0"/>
          <w:color w:val="auto"/>
          <w:sz w:val="20"/>
          <w:szCs w:val="20"/>
          <w:lang w:val="es-MX" w:eastAsia="es-ES"/>
        </w:rPr>
        <w:t xml:space="preserve">: es el </w:t>
      </w:r>
      <w:r w:rsidR="000B40E0">
        <w:rPr>
          <w:rFonts w:ascii="Verdana" w:hAnsi="Verdana"/>
          <w:bCs/>
          <w:snapToGrid w:val="0"/>
          <w:color w:val="auto"/>
          <w:sz w:val="20"/>
          <w:szCs w:val="20"/>
          <w:lang w:val="es-MX" w:eastAsia="es-ES"/>
        </w:rPr>
        <w:t xml:space="preserve">promedio </w:t>
      </w:r>
      <w:r w:rsidR="0021350F" w:rsidRPr="00923E21">
        <w:rPr>
          <w:rFonts w:ascii="Verdana" w:hAnsi="Verdana"/>
          <w:sz w:val="20"/>
          <w:szCs w:val="20"/>
        </w:rPr>
        <w:t>mensual de los últimos 36 meses de los activos de los contratos administrados.</w:t>
      </w:r>
    </w:p>
    <w:p w14:paraId="3508F852" w14:textId="77777777" w:rsidR="0021350F" w:rsidRPr="00923E21" w:rsidRDefault="0021350F" w:rsidP="0021350F">
      <w:pPr>
        <w:pStyle w:val="Titulo"/>
        <w:numPr>
          <w:ilvl w:val="0"/>
          <w:numId w:val="0"/>
        </w:numPr>
        <w:tabs>
          <w:tab w:val="left" w:pos="708"/>
        </w:tabs>
        <w:jc w:val="both"/>
        <w:rPr>
          <w:rFonts w:ascii="Verdana" w:hAnsi="Verdana" w:cs="Arial"/>
          <w:color w:val="000000"/>
          <w:sz w:val="20"/>
          <w:szCs w:val="20"/>
        </w:rPr>
      </w:pPr>
    </w:p>
    <w:p w14:paraId="69F210B5" w14:textId="11B99F7B" w:rsidR="003007A3" w:rsidRPr="00A2626A" w:rsidRDefault="003007A3" w:rsidP="003007A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9</w:t>
      </w:r>
      <w:r w:rsidR="00720D14">
        <w:rPr>
          <w:rFonts w:ascii="Verdana" w:hAnsi="Verdana" w:cs="Arial"/>
          <w:bCs/>
          <w:sz w:val="20"/>
          <w:szCs w:val="20"/>
        </w:rPr>
        <w:t>7</w:t>
      </w:r>
      <w:r w:rsidRPr="00A2626A">
        <w:rPr>
          <w:rFonts w:ascii="Verdana" w:hAnsi="Verdana" w:cs="Arial"/>
          <w:bCs/>
          <w:sz w:val="20"/>
          <w:szCs w:val="20"/>
        </w:rPr>
        <w:t>.</w:t>
      </w:r>
    </w:p>
    <w:p w14:paraId="342B272C" w14:textId="77777777" w:rsidR="0021350F" w:rsidRPr="00923E21" w:rsidRDefault="0021350F" w:rsidP="0021350F">
      <w:pPr>
        <w:pStyle w:val="Titulo"/>
        <w:numPr>
          <w:ilvl w:val="0"/>
          <w:numId w:val="0"/>
        </w:numPr>
        <w:tabs>
          <w:tab w:val="left" w:pos="708"/>
        </w:tabs>
        <w:jc w:val="both"/>
        <w:rPr>
          <w:rFonts w:ascii="Verdana" w:hAnsi="Verdana" w:cs="Arial"/>
          <w:color w:val="000000"/>
          <w:sz w:val="20"/>
          <w:szCs w:val="20"/>
        </w:rPr>
      </w:pPr>
      <w:r w:rsidRPr="00923E21">
        <w:rPr>
          <w:rFonts w:ascii="Verdana" w:hAnsi="Verdana" w:cs="Arial"/>
          <w:color w:val="000000"/>
          <w:sz w:val="20"/>
          <w:szCs w:val="20"/>
        </w:rPr>
        <w:t xml:space="preserve">Los activos, ingresos y gastos corresponden a los reportados por los administradores en los últimos 36 meses. </w:t>
      </w:r>
    </w:p>
    <w:p w14:paraId="768AA477" w14:textId="77777777" w:rsidR="0021350F" w:rsidRPr="00923E21" w:rsidRDefault="0021350F" w:rsidP="0021350F">
      <w:pPr>
        <w:pStyle w:val="Titulo"/>
        <w:numPr>
          <w:ilvl w:val="0"/>
          <w:numId w:val="0"/>
        </w:numPr>
        <w:tabs>
          <w:tab w:val="left" w:pos="708"/>
        </w:tabs>
        <w:jc w:val="both"/>
        <w:rPr>
          <w:rFonts w:ascii="Verdana" w:hAnsi="Verdana" w:cs="Arial"/>
          <w:color w:val="000000"/>
          <w:sz w:val="20"/>
          <w:szCs w:val="20"/>
        </w:rPr>
      </w:pPr>
    </w:p>
    <w:p w14:paraId="64D0725E" w14:textId="2B050244" w:rsidR="003007A3" w:rsidRPr="00A2626A" w:rsidRDefault="003007A3" w:rsidP="003007A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2.4.3.</w:t>
      </w:r>
      <w:r>
        <w:rPr>
          <w:rFonts w:ascii="Verdana" w:hAnsi="Verdana" w:cs="Arial"/>
          <w:bCs/>
          <w:sz w:val="20"/>
          <w:szCs w:val="20"/>
        </w:rPr>
        <w:t>9</w:t>
      </w:r>
      <w:r w:rsidR="00720D14">
        <w:rPr>
          <w:rFonts w:ascii="Verdana" w:hAnsi="Verdana" w:cs="Arial"/>
          <w:bCs/>
          <w:sz w:val="20"/>
          <w:szCs w:val="20"/>
        </w:rPr>
        <w:t>8</w:t>
      </w:r>
      <w:r w:rsidRPr="00A2626A">
        <w:rPr>
          <w:rFonts w:ascii="Verdana" w:hAnsi="Verdana" w:cs="Arial"/>
          <w:bCs/>
          <w:sz w:val="20"/>
          <w:szCs w:val="20"/>
        </w:rPr>
        <w:t>.</w:t>
      </w:r>
    </w:p>
    <w:p w14:paraId="3FD44F22" w14:textId="0DD73BFA" w:rsidR="0021350F" w:rsidRPr="00923E21" w:rsidRDefault="0021350F" w:rsidP="0021350F">
      <w:pPr>
        <w:pStyle w:val="Titulo"/>
        <w:numPr>
          <w:ilvl w:val="0"/>
          <w:numId w:val="0"/>
        </w:numPr>
        <w:tabs>
          <w:tab w:val="left" w:pos="708"/>
        </w:tabs>
        <w:jc w:val="both"/>
        <w:rPr>
          <w:rFonts w:ascii="Verdana" w:hAnsi="Verdana" w:cs="Arial"/>
          <w:color w:val="000000"/>
          <w:sz w:val="20"/>
          <w:szCs w:val="20"/>
        </w:rPr>
      </w:pPr>
      <w:r w:rsidRPr="00923E21">
        <w:rPr>
          <w:rFonts w:ascii="Verdana" w:hAnsi="Verdana" w:cs="Arial"/>
          <w:color w:val="000000"/>
          <w:sz w:val="20"/>
          <w:szCs w:val="20"/>
        </w:rPr>
        <w:t>El cociente de ingresos y gastos por comisiones de administración de operaciones (</w:t>
      </w:r>
      <m:oMath>
        <m:r>
          <w:rPr>
            <w:rFonts w:ascii="Cambria Math" w:hAnsi="Cambria Math"/>
            <w:snapToGrid w:val="0"/>
            <w:sz w:val="20"/>
            <w:szCs w:val="20"/>
          </w:rPr>
          <m:t>CIG</m:t>
        </m:r>
      </m:oMath>
      <w:r w:rsidRPr="00923E21">
        <w:rPr>
          <w:rFonts w:ascii="Verdana" w:hAnsi="Verdana" w:cs="Arial"/>
          <w:color w:val="000000"/>
          <w:sz w:val="20"/>
          <w:szCs w:val="20"/>
        </w:rPr>
        <w:t>) será calculado respecto de cada actividad o tipo de contrato, independientemente de la entidad que lo realice.</w:t>
      </w:r>
    </w:p>
    <w:sectPr w:rsidR="0021350F" w:rsidRPr="00923E21"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449DF" w14:textId="77777777" w:rsidR="00A25E3F" w:rsidRDefault="00A25E3F" w:rsidP="00057BF6">
      <w:pPr>
        <w:spacing w:after="0" w:line="240" w:lineRule="auto"/>
      </w:pPr>
      <w:r>
        <w:separator/>
      </w:r>
    </w:p>
  </w:endnote>
  <w:endnote w:type="continuationSeparator" w:id="0">
    <w:p w14:paraId="6EF6BDEE" w14:textId="77777777" w:rsidR="00A25E3F" w:rsidRDefault="00A25E3F"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BCA58" w14:textId="77777777" w:rsidR="00A25E3F" w:rsidRDefault="00A25E3F" w:rsidP="00057BF6">
      <w:pPr>
        <w:spacing w:after="0" w:line="240" w:lineRule="auto"/>
      </w:pPr>
      <w:r>
        <w:separator/>
      </w:r>
    </w:p>
  </w:footnote>
  <w:footnote w:type="continuationSeparator" w:id="0">
    <w:p w14:paraId="3CA525E4" w14:textId="77777777" w:rsidR="00A25E3F" w:rsidRDefault="00A25E3F"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61E"/>
    <w:multiLevelType w:val="hybridMultilevel"/>
    <w:tmpl w:val="2AA2F65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E330C3"/>
    <w:multiLevelType w:val="hybridMultilevel"/>
    <w:tmpl w:val="21BC6FF0"/>
    <w:lvl w:ilvl="0" w:tplc="48A2D5D6">
      <w:start w:val="1"/>
      <w:numFmt w:val="lowerLetter"/>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6C0FFD"/>
    <w:multiLevelType w:val="hybridMultilevel"/>
    <w:tmpl w:val="7B249B9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3035DA"/>
    <w:multiLevelType w:val="hybridMultilevel"/>
    <w:tmpl w:val="3E28D98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2F581A"/>
    <w:multiLevelType w:val="hybridMultilevel"/>
    <w:tmpl w:val="50B4627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C2731F"/>
    <w:multiLevelType w:val="hybridMultilevel"/>
    <w:tmpl w:val="69FA01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3E60D2"/>
    <w:multiLevelType w:val="hybridMultilevel"/>
    <w:tmpl w:val="E0860D4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443F3C"/>
    <w:multiLevelType w:val="hybridMultilevel"/>
    <w:tmpl w:val="F1D03F4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9" w15:restartNumberingAfterBreak="0">
    <w:nsid w:val="263F7B7B"/>
    <w:multiLevelType w:val="hybridMultilevel"/>
    <w:tmpl w:val="C3BA6A8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4197224"/>
    <w:multiLevelType w:val="hybridMultilevel"/>
    <w:tmpl w:val="734458D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4914A75"/>
    <w:multiLevelType w:val="hybridMultilevel"/>
    <w:tmpl w:val="82E2B64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D407E71"/>
    <w:multiLevelType w:val="hybridMultilevel"/>
    <w:tmpl w:val="56BE382E"/>
    <w:lvl w:ilvl="0" w:tplc="3E604A2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23D533B"/>
    <w:multiLevelType w:val="hybridMultilevel"/>
    <w:tmpl w:val="94341080"/>
    <w:lvl w:ilvl="0" w:tplc="4C3AC35A">
      <w:start w:val="1"/>
      <w:numFmt w:val="lowerLetter"/>
      <w:lvlText w:val="%1."/>
      <w:lvlJc w:val="left"/>
      <w:pPr>
        <w:ind w:left="502"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63B00E6"/>
    <w:multiLevelType w:val="hybridMultilevel"/>
    <w:tmpl w:val="6D2CA61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AE4A34"/>
    <w:multiLevelType w:val="hybridMultilevel"/>
    <w:tmpl w:val="94FCF666"/>
    <w:lvl w:ilvl="0" w:tplc="240A0019">
      <w:start w:val="1"/>
      <w:numFmt w:val="lowerLetter"/>
      <w:lvlText w:val="%1."/>
      <w:lvlJc w:val="left"/>
      <w:pPr>
        <w:ind w:left="1146" w:hanging="360"/>
      </w:pPr>
      <w:rPr>
        <w:rFonts w:hint="default"/>
      </w:r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16" w15:restartNumberingAfterBreak="0">
    <w:nsid w:val="476E77E8"/>
    <w:multiLevelType w:val="hybridMultilevel"/>
    <w:tmpl w:val="F2567FA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C7568FA"/>
    <w:multiLevelType w:val="hybridMultilevel"/>
    <w:tmpl w:val="765E4E2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B1D30CA"/>
    <w:multiLevelType w:val="multilevel"/>
    <w:tmpl w:val="B3F2EB70"/>
    <w:lvl w:ilvl="0">
      <w:start w:val="1"/>
      <w:numFmt w:val="decimal"/>
      <w:pStyle w:val="Titulo2"/>
      <w:lvlText w:val="%1."/>
      <w:lvlJc w:val="left"/>
      <w:pPr>
        <w:tabs>
          <w:tab w:val="num" w:pos="786"/>
        </w:tabs>
        <w:ind w:left="426" w:firstLine="0"/>
      </w:pPr>
      <w:rPr>
        <w:rFonts w:ascii="Arial" w:hAnsi="Arial" w:cs="Times New Roman" w:hint="default"/>
        <w:b/>
        <w:i w:val="0"/>
        <w:sz w:val="24"/>
      </w:rPr>
    </w:lvl>
    <w:lvl w:ilvl="1">
      <w:start w:val="1"/>
      <w:numFmt w:val="decimal"/>
      <w:pStyle w:val="Titulo"/>
      <w:lvlText w:val="%1.%2."/>
      <w:lvlJc w:val="left"/>
      <w:pPr>
        <w:tabs>
          <w:tab w:val="num" w:pos="360"/>
        </w:tabs>
        <w:ind w:left="360" w:hanging="360"/>
      </w:pPr>
      <w:rPr>
        <w:rFonts w:ascii="Arial" w:hAnsi="Arial" w:cs="Arial" w:hint="default"/>
        <w:b/>
        <w:sz w:val="22"/>
        <w:szCs w:val="22"/>
      </w:rPr>
    </w:lvl>
    <w:lvl w:ilvl="2">
      <w:start w:val="1"/>
      <w:numFmt w:val="decimal"/>
      <w:lvlText w:val="%1.%2.%3"/>
      <w:lvlJc w:val="left"/>
      <w:pPr>
        <w:tabs>
          <w:tab w:val="num" w:pos="720"/>
        </w:tabs>
        <w:ind w:left="0" w:firstLine="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1800"/>
        </w:tabs>
        <w:ind w:left="1800" w:hanging="1800"/>
      </w:pPr>
      <w:rPr>
        <w:b/>
      </w:rPr>
    </w:lvl>
  </w:abstractNum>
  <w:abstractNum w:abstractNumId="19" w15:restartNumberingAfterBreak="0">
    <w:nsid w:val="5E175E7A"/>
    <w:multiLevelType w:val="hybridMultilevel"/>
    <w:tmpl w:val="621C6388"/>
    <w:lvl w:ilvl="0" w:tplc="240A0019">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1956CFF"/>
    <w:multiLevelType w:val="hybridMultilevel"/>
    <w:tmpl w:val="A768CF3E"/>
    <w:lvl w:ilvl="0" w:tplc="7BFCF5D6">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52E52C8"/>
    <w:multiLevelType w:val="hybridMultilevel"/>
    <w:tmpl w:val="BEFE90B2"/>
    <w:lvl w:ilvl="0" w:tplc="C3287DA0">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70C01C2"/>
    <w:multiLevelType w:val="hybridMultilevel"/>
    <w:tmpl w:val="EA846AE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A52156F"/>
    <w:multiLevelType w:val="hybridMultilevel"/>
    <w:tmpl w:val="E50A77EA"/>
    <w:lvl w:ilvl="0" w:tplc="240A0019">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F376AFD"/>
    <w:multiLevelType w:val="hybridMultilevel"/>
    <w:tmpl w:val="549C54D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03F7122"/>
    <w:multiLevelType w:val="hybridMultilevel"/>
    <w:tmpl w:val="738888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12B42D0"/>
    <w:multiLevelType w:val="hybridMultilevel"/>
    <w:tmpl w:val="EB0E079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32650C3"/>
    <w:multiLevelType w:val="hybridMultilevel"/>
    <w:tmpl w:val="790089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6957731"/>
    <w:multiLevelType w:val="hybridMultilevel"/>
    <w:tmpl w:val="0F0C887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9C976C1"/>
    <w:multiLevelType w:val="hybridMultilevel"/>
    <w:tmpl w:val="EF8EA77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AA96701"/>
    <w:multiLevelType w:val="hybridMultilevel"/>
    <w:tmpl w:val="1D465A66"/>
    <w:lvl w:ilvl="0" w:tplc="8856B422">
      <w:start w:val="1"/>
      <w:numFmt w:val="lowerLetter"/>
      <w:lvlText w:val="%1."/>
      <w:lvlJc w:val="left"/>
      <w:pPr>
        <w:ind w:left="930" w:hanging="57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02528448">
    <w:abstractNumId w:val="8"/>
  </w:num>
  <w:num w:numId="2" w16cid:durableId="1196307582">
    <w:abstractNumId w:val="18"/>
  </w:num>
  <w:num w:numId="3" w16cid:durableId="2038657241">
    <w:abstractNumId w:val="0"/>
  </w:num>
  <w:num w:numId="4" w16cid:durableId="691299899">
    <w:abstractNumId w:val="2"/>
  </w:num>
  <w:num w:numId="5" w16cid:durableId="1311253480">
    <w:abstractNumId w:val="24"/>
  </w:num>
  <w:num w:numId="6" w16cid:durableId="16397559">
    <w:abstractNumId w:val="4"/>
  </w:num>
  <w:num w:numId="7" w16cid:durableId="1956328765">
    <w:abstractNumId w:val="12"/>
  </w:num>
  <w:num w:numId="8" w16cid:durableId="1987398356">
    <w:abstractNumId w:val="7"/>
  </w:num>
  <w:num w:numId="9" w16cid:durableId="1738362089">
    <w:abstractNumId w:val="15"/>
  </w:num>
  <w:num w:numId="10" w16cid:durableId="1270578035">
    <w:abstractNumId w:val="14"/>
  </w:num>
  <w:num w:numId="11" w16cid:durableId="1647008212">
    <w:abstractNumId w:val="13"/>
  </w:num>
  <w:num w:numId="12" w16cid:durableId="1063678721">
    <w:abstractNumId w:val="5"/>
  </w:num>
  <w:num w:numId="13" w16cid:durableId="1502964428">
    <w:abstractNumId w:val="23"/>
  </w:num>
  <w:num w:numId="14" w16cid:durableId="890922302">
    <w:abstractNumId w:val="20"/>
  </w:num>
  <w:num w:numId="15" w16cid:durableId="470096643">
    <w:abstractNumId w:val="28"/>
  </w:num>
  <w:num w:numId="16" w16cid:durableId="1034426503">
    <w:abstractNumId w:val="1"/>
  </w:num>
  <w:num w:numId="17" w16cid:durableId="478229478">
    <w:abstractNumId w:val="10"/>
  </w:num>
  <w:num w:numId="18" w16cid:durableId="1346788372">
    <w:abstractNumId w:val="19"/>
  </w:num>
  <w:num w:numId="19" w16cid:durableId="1314333997">
    <w:abstractNumId w:val="21"/>
  </w:num>
  <w:num w:numId="20" w16cid:durableId="159929670">
    <w:abstractNumId w:val="9"/>
  </w:num>
  <w:num w:numId="21" w16cid:durableId="1818064980">
    <w:abstractNumId w:val="25"/>
  </w:num>
  <w:num w:numId="22" w16cid:durableId="860631336">
    <w:abstractNumId w:val="29"/>
  </w:num>
  <w:num w:numId="23" w16cid:durableId="735011494">
    <w:abstractNumId w:val="30"/>
  </w:num>
  <w:num w:numId="24" w16cid:durableId="1735423626">
    <w:abstractNumId w:val="6"/>
  </w:num>
  <w:num w:numId="25" w16cid:durableId="321081345">
    <w:abstractNumId w:val="22"/>
  </w:num>
  <w:num w:numId="26" w16cid:durableId="78258659">
    <w:abstractNumId w:val="17"/>
  </w:num>
  <w:num w:numId="27" w16cid:durableId="1409694724">
    <w:abstractNumId w:val="11"/>
  </w:num>
  <w:num w:numId="28" w16cid:durableId="1514420701">
    <w:abstractNumId w:val="3"/>
  </w:num>
  <w:num w:numId="29" w16cid:durableId="391587381">
    <w:abstractNumId w:val="26"/>
  </w:num>
  <w:num w:numId="30" w16cid:durableId="136339937">
    <w:abstractNumId w:val="27"/>
  </w:num>
  <w:num w:numId="31" w16cid:durableId="9039393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A2B"/>
    <w:rsid w:val="00003BCD"/>
    <w:rsid w:val="000052B7"/>
    <w:rsid w:val="00026C9F"/>
    <w:rsid w:val="0004438A"/>
    <w:rsid w:val="00057BF6"/>
    <w:rsid w:val="0006321F"/>
    <w:rsid w:val="0006736C"/>
    <w:rsid w:val="00070B87"/>
    <w:rsid w:val="00071A7D"/>
    <w:rsid w:val="00076A51"/>
    <w:rsid w:val="00080BDD"/>
    <w:rsid w:val="0008623A"/>
    <w:rsid w:val="000A20C1"/>
    <w:rsid w:val="000A2AA0"/>
    <w:rsid w:val="000A6CB2"/>
    <w:rsid w:val="000A6FD2"/>
    <w:rsid w:val="000B40E0"/>
    <w:rsid w:val="000B7065"/>
    <w:rsid w:val="000D2448"/>
    <w:rsid w:val="000F66EB"/>
    <w:rsid w:val="000F76DD"/>
    <w:rsid w:val="00103452"/>
    <w:rsid w:val="0010417B"/>
    <w:rsid w:val="00120832"/>
    <w:rsid w:val="001278F9"/>
    <w:rsid w:val="00133FA6"/>
    <w:rsid w:val="00134411"/>
    <w:rsid w:val="00141425"/>
    <w:rsid w:val="00162B77"/>
    <w:rsid w:val="00163EAC"/>
    <w:rsid w:val="001726DF"/>
    <w:rsid w:val="00180960"/>
    <w:rsid w:val="00185497"/>
    <w:rsid w:val="001A237B"/>
    <w:rsid w:val="001A5553"/>
    <w:rsid w:val="001B1E8E"/>
    <w:rsid w:val="001B5187"/>
    <w:rsid w:val="001B591E"/>
    <w:rsid w:val="001C32FB"/>
    <w:rsid w:val="001C3D25"/>
    <w:rsid w:val="001C6A3D"/>
    <w:rsid w:val="001D35AD"/>
    <w:rsid w:val="001F6DFA"/>
    <w:rsid w:val="0020133D"/>
    <w:rsid w:val="00203A8A"/>
    <w:rsid w:val="002079DF"/>
    <w:rsid w:val="00211AFC"/>
    <w:rsid w:val="0021350F"/>
    <w:rsid w:val="0021485C"/>
    <w:rsid w:val="0021666A"/>
    <w:rsid w:val="00220268"/>
    <w:rsid w:val="00225478"/>
    <w:rsid w:val="00242FB0"/>
    <w:rsid w:val="00246D5A"/>
    <w:rsid w:val="00247250"/>
    <w:rsid w:val="00275E84"/>
    <w:rsid w:val="00295A38"/>
    <w:rsid w:val="002A24F4"/>
    <w:rsid w:val="002A718D"/>
    <w:rsid w:val="002B4F4A"/>
    <w:rsid w:val="002C05FC"/>
    <w:rsid w:val="002C492D"/>
    <w:rsid w:val="002F5CF4"/>
    <w:rsid w:val="002F6A03"/>
    <w:rsid w:val="003007A3"/>
    <w:rsid w:val="003022E1"/>
    <w:rsid w:val="00302555"/>
    <w:rsid w:val="00302A80"/>
    <w:rsid w:val="00315238"/>
    <w:rsid w:val="00331A9D"/>
    <w:rsid w:val="00347491"/>
    <w:rsid w:val="003502D8"/>
    <w:rsid w:val="00356330"/>
    <w:rsid w:val="00381A5A"/>
    <w:rsid w:val="003838DE"/>
    <w:rsid w:val="00385481"/>
    <w:rsid w:val="00387185"/>
    <w:rsid w:val="00390326"/>
    <w:rsid w:val="00395C38"/>
    <w:rsid w:val="003A1434"/>
    <w:rsid w:val="003A5CFE"/>
    <w:rsid w:val="003B4471"/>
    <w:rsid w:val="003C1BBB"/>
    <w:rsid w:val="003C558F"/>
    <w:rsid w:val="003D28C0"/>
    <w:rsid w:val="003E442E"/>
    <w:rsid w:val="003E6098"/>
    <w:rsid w:val="003E6E62"/>
    <w:rsid w:val="003E7417"/>
    <w:rsid w:val="003F0547"/>
    <w:rsid w:val="003F1D6B"/>
    <w:rsid w:val="003F2544"/>
    <w:rsid w:val="003F5174"/>
    <w:rsid w:val="0040498E"/>
    <w:rsid w:val="00405030"/>
    <w:rsid w:val="004053DC"/>
    <w:rsid w:val="00406D2B"/>
    <w:rsid w:val="004106A9"/>
    <w:rsid w:val="00411EE6"/>
    <w:rsid w:val="00416807"/>
    <w:rsid w:val="00422233"/>
    <w:rsid w:val="0043223D"/>
    <w:rsid w:val="00444714"/>
    <w:rsid w:val="004824D9"/>
    <w:rsid w:val="00496420"/>
    <w:rsid w:val="004A7351"/>
    <w:rsid w:val="004B0512"/>
    <w:rsid w:val="004B3B0E"/>
    <w:rsid w:val="004D1794"/>
    <w:rsid w:val="004D510E"/>
    <w:rsid w:val="004E0D80"/>
    <w:rsid w:val="004E6371"/>
    <w:rsid w:val="0050A195"/>
    <w:rsid w:val="0051102C"/>
    <w:rsid w:val="00523D92"/>
    <w:rsid w:val="00526368"/>
    <w:rsid w:val="00527A35"/>
    <w:rsid w:val="00536FAD"/>
    <w:rsid w:val="00541E90"/>
    <w:rsid w:val="00553DA1"/>
    <w:rsid w:val="005550BE"/>
    <w:rsid w:val="0055785C"/>
    <w:rsid w:val="00572994"/>
    <w:rsid w:val="005843F2"/>
    <w:rsid w:val="00590025"/>
    <w:rsid w:val="005910B0"/>
    <w:rsid w:val="005931D9"/>
    <w:rsid w:val="00596B88"/>
    <w:rsid w:val="005D11EE"/>
    <w:rsid w:val="005E2BAA"/>
    <w:rsid w:val="005E79E4"/>
    <w:rsid w:val="00601BDD"/>
    <w:rsid w:val="0060731A"/>
    <w:rsid w:val="0061423F"/>
    <w:rsid w:val="00620854"/>
    <w:rsid w:val="0063440D"/>
    <w:rsid w:val="0064010B"/>
    <w:rsid w:val="00641B47"/>
    <w:rsid w:val="006436CF"/>
    <w:rsid w:val="00665C45"/>
    <w:rsid w:val="00673EFC"/>
    <w:rsid w:val="0067769C"/>
    <w:rsid w:val="006911DA"/>
    <w:rsid w:val="006A4CA1"/>
    <w:rsid w:val="006B11D4"/>
    <w:rsid w:val="006D373C"/>
    <w:rsid w:val="006D7963"/>
    <w:rsid w:val="006E3CFA"/>
    <w:rsid w:val="006F2F5C"/>
    <w:rsid w:val="006F7295"/>
    <w:rsid w:val="007013ED"/>
    <w:rsid w:val="00720D14"/>
    <w:rsid w:val="00721D02"/>
    <w:rsid w:val="007244C5"/>
    <w:rsid w:val="007272DF"/>
    <w:rsid w:val="00734CC2"/>
    <w:rsid w:val="00737EE9"/>
    <w:rsid w:val="00745EC0"/>
    <w:rsid w:val="00755154"/>
    <w:rsid w:val="0075759A"/>
    <w:rsid w:val="00776992"/>
    <w:rsid w:val="007845F2"/>
    <w:rsid w:val="00785A0A"/>
    <w:rsid w:val="00787697"/>
    <w:rsid w:val="007944C8"/>
    <w:rsid w:val="007957D2"/>
    <w:rsid w:val="00795D73"/>
    <w:rsid w:val="007A302E"/>
    <w:rsid w:val="007B2FB9"/>
    <w:rsid w:val="007C2015"/>
    <w:rsid w:val="007C3922"/>
    <w:rsid w:val="007D0C15"/>
    <w:rsid w:val="007D1434"/>
    <w:rsid w:val="007E014E"/>
    <w:rsid w:val="007E7B56"/>
    <w:rsid w:val="007F062D"/>
    <w:rsid w:val="007F401B"/>
    <w:rsid w:val="00806403"/>
    <w:rsid w:val="008228C5"/>
    <w:rsid w:val="008256C8"/>
    <w:rsid w:val="00826314"/>
    <w:rsid w:val="0082633B"/>
    <w:rsid w:val="00827E0F"/>
    <w:rsid w:val="00830E4E"/>
    <w:rsid w:val="00831536"/>
    <w:rsid w:val="00852BA9"/>
    <w:rsid w:val="008560EB"/>
    <w:rsid w:val="00873423"/>
    <w:rsid w:val="00873ED9"/>
    <w:rsid w:val="00877C3D"/>
    <w:rsid w:val="00890C58"/>
    <w:rsid w:val="00893827"/>
    <w:rsid w:val="00896F38"/>
    <w:rsid w:val="008A2DE4"/>
    <w:rsid w:val="008A5958"/>
    <w:rsid w:val="008B4F11"/>
    <w:rsid w:val="008D212D"/>
    <w:rsid w:val="008D2738"/>
    <w:rsid w:val="008D7193"/>
    <w:rsid w:val="00906588"/>
    <w:rsid w:val="00910885"/>
    <w:rsid w:val="009137AF"/>
    <w:rsid w:val="009238E2"/>
    <w:rsid w:val="00923E21"/>
    <w:rsid w:val="00926227"/>
    <w:rsid w:val="009312DA"/>
    <w:rsid w:val="00942B83"/>
    <w:rsid w:val="009500FB"/>
    <w:rsid w:val="00953CD5"/>
    <w:rsid w:val="00956EC8"/>
    <w:rsid w:val="009571FD"/>
    <w:rsid w:val="00961F4C"/>
    <w:rsid w:val="00962839"/>
    <w:rsid w:val="009739AE"/>
    <w:rsid w:val="00976C66"/>
    <w:rsid w:val="009775B2"/>
    <w:rsid w:val="009848F8"/>
    <w:rsid w:val="00985E84"/>
    <w:rsid w:val="00986E49"/>
    <w:rsid w:val="00987B4B"/>
    <w:rsid w:val="00995C37"/>
    <w:rsid w:val="009A2823"/>
    <w:rsid w:val="009A6B04"/>
    <w:rsid w:val="009B6D85"/>
    <w:rsid w:val="009D4825"/>
    <w:rsid w:val="009D6127"/>
    <w:rsid w:val="009D7ED7"/>
    <w:rsid w:val="009E7916"/>
    <w:rsid w:val="00A00A7A"/>
    <w:rsid w:val="00A0154B"/>
    <w:rsid w:val="00A158AB"/>
    <w:rsid w:val="00A17DBC"/>
    <w:rsid w:val="00A21035"/>
    <w:rsid w:val="00A2362E"/>
    <w:rsid w:val="00A25E3F"/>
    <w:rsid w:val="00A2626A"/>
    <w:rsid w:val="00A40E3B"/>
    <w:rsid w:val="00A41CC6"/>
    <w:rsid w:val="00A41E5E"/>
    <w:rsid w:val="00A50E2E"/>
    <w:rsid w:val="00A71AF8"/>
    <w:rsid w:val="00A91A74"/>
    <w:rsid w:val="00A91AD8"/>
    <w:rsid w:val="00AA0C7B"/>
    <w:rsid w:val="00AB275A"/>
    <w:rsid w:val="00AC2407"/>
    <w:rsid w:val="00AC68C5"/>
    <w:rsid w:val="00AD48C7"/>
    <w:rsid w:val="00AE3FA8"/>
    <w:rsid w:val="00AF10D9"/>
    <w:rsid w:val="00B07908"/>
    <w:rsid w:val="00B15448"/>
    <w:rsid w:val="00B36EB7"/>
    <w:rsid w:val="00B411C6"/>
    <w:rsid w:val="00B45357"/>
    <w:rsid w:val="00B45F78"/>
    <w:rsid w:val="00B7646F"/>
    <w:rsid w:val="00B8111E"/>
    <w:rsid w:val="00B84971"/>
    <w:rsid w:val="00B972CD"/>
    <w:rsid w:val="00BC0E2B"/>
    <w:rsid w:val="00BD41B8"/>
    <w:rsid w:val="00BD63D2"/>
    <w:rsid w:val="00BE3292"/>
    <w:rsid w:val="00BF07E8"/>
    <w:rsid w:val="00BF2FDE"/>
    <w:rsid w:val="00BF70B6"/>
    <w:rsid w:val="00C0185E"/>
    <w:rsid w:val="00C14B1F"/>
    <w:rsid w:val="00C17FF6"/>
    <w:rsid w:val="00C21B6D"/>
    <w:rsid w:val="00C23C6B"/>
    <w:rsid w:val="00C27706"/>
    <w:rsid w:val="00C27ED4"/>
    <w:rsid w:val="00C3141A"/>
    <w:rsid w:val="00C35C1A"/>
    <w:rsid w:val="00C368A0"/>
    <w:rsid w:val="00C54FB2"/>
    <w:rsid w:val="00C61AC4"/>
    <w:rsid w:val="00C64DBE"/>
    <w:rsid w:val="00C70712"/>
    <w:rsid w:val="00C77813"/>
    <w:rsid w:val="00C77D70"/>
    <w:rsid w:val="00C84B3C"/>
    <w:rsid w:val="00C9223D"/>
    <w:rsid w:val="00C92F18"/>
    <w:rsid w:val="00C96F7B"/>
    <w:rsid w:val="00CA3675"/>
    <w:rsid w:val="00CA5F1D"/>
    <w:rsid w:val="00CA629A"/>
    <w:rsid w:val="00CB72DB"/>
    <w:rsid w:val="00CC3647"/>
    <w:rsid w:val="00CC6142"/>
    <w:rsid w:val="00CD7FF3"/>
    <w:rsid w:val="00CE2402"/>
    <w:rsid w:val="00CE52AC"/>
    <w:rsid w:val="00D017A9"/>
    <w:rsid w:val="00D12928"/>
    <w:rsid w:val="00D142EF"/>
    <w:rsid w:val="00D26674"/>
    <w:rsid w:val="00D26DD2"/>
    <w:rsid w:val="00D36ED5"/>
    <w:rsid w:val="00D458E1"/>
    <w:rsid w:val="00D52F8A"/>
    <w:rsid w:val="00D61A99"/>
    <w:rsid w:val="00D64161"/>
    <w:rsid w:val="00D7114F"/>
    <w:rsid w:val="00D749A2"/>
    <w:rsid w:val="00D77EA8"/>
    <w:rsid w:val="00D80004"/>
    <w:rsid w:val="00D80BF9"/>
    <w:rsid w:val="00D81726"/>
    <w:rsid w:val="00D93207"/>
    <w:rsid w:val="00D9755A"/>
    <w:rsid w:val="00DA0481"/>
    <w:rsid w:val="00DA0C0E"/>
    <w:rsid w:val="00DA1217"/>
    <w:rsid w:val="00DA1A00"/>
    <w:rsid w:val="00DA1A79"/>
    <w:rsid w:val="00DA1AE0"/>
    <w:rsid w:val="00DB0BC9"/>
    <w:rsid w:val="00DB32D7"/>
    <w:rsid w:val="00DB3370"/>
    <w:rsid w:val="00DC7AD2"/>
    <w:rsid w:val="00DD149B"/>
    <w:rsid w:val="00DF3974"/>
    <w:rsid w:val="00E03CCC"/>
    <w:rsid w:val="00E04504"/>
    <w:rsid w:val="00E11761"/>
    <w:rsid w:val="00E2471A"/>
    <w:rsid w:val="00E301F8"/>
    <w:rsid w:val="00E304F2"/>
    <w:rsid w:val="00E32DBD"/>
    <w:rsid w:val="00E33C58"/>
    <w:rsid w:val="00E349FF"/>
    <w:rsid w:val="00E37B0E"/>
    <w:rsid w:val="00E452C2"/>
    <w:rsid w:val="00E5525F"/>
    <w:rsid w:val="00E556F1"/>
    <w:rsid w:val="00E600AD"/>
    <w:rsid w:val="00E72A5F"/>
    <w:rsid w:val="00E822FB"/>
    <w:rsid w:val="00E92B6B"/>
    <w:rsid w:val="00E97BBF"/>
    <w:rsid w:val="00EB1871"/>
    <w:rsid w:val="00EB4997"/>
    <w:rsid w:val="00EC46B5"/>
    <w:rsid w:val="00ED1CD6"/>
    <w:rsid w:val="00EE385E"/>
    <w:rsid w:val="00EE6317"/>
    <w:rsid w:val="00EF0A1F"/>
    <w:rsid w:val="00EF484B"/>
    <w:rsid w:val="00EF4AE2"/>
    <w:rsid w:val="00EF5109"/>
    <w:rsid w:val="00EF6199"/>
    <w:rsid w:val="00F01BE6"/>
    <w:rsid w:val="00F17E8A"/>
    <w:rsid w:val="00F255E0"/>
    <w:rsid w:val="00F322EF"/>
    <w:rsid w:val="00F47215"/>
    <w:rsid w:val="00F56CD0"/>
    <w:rsid w:val="00F72C18"/>
    <w:rsid w:val="00F7508F"/>
    <w:rsid w:val="00F82480"/>
    <w:rsid w:val="00F8705E"/>
    <w:rsid w:val="00F93D7B"/>
    <w:rsid w:val="00F966AB"/>
    <w:rsid w:val="00FA7A33"/>
    <w:rsid w:val="00FB2E86"/>
    <w:rsid w:val="00FB6E3D"/>
    <w:rsid w:val="00FC0ACF"/>
    <w:rsid w:val="00FD61C3"/>
    <w:rsid w:val="00FF0E56"/>
    <w:rsid w:val="00FF6E5A"/>
    <w:rsid w:val="02576CC8"/>
    <w:rsid w:val="29B1E1C1"/>
    <w:rsid w:val="3EC132F4"/>
    <w:rsid w:val="40E22EEA"/>
    <w:rsid w:val="45F1F605"/>
    <w:rsid w:val="49E174DC"/>
    <w:rsid w:val="7EA132E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99"/>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99"/>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character" w:styleId="Nmerodepgina">
    <w:name w:val="page number"/>
    <w:basedOn w:val="Fuentedeprrafopredeter"/>
    <w:rsid w:val="0021350F"/>
  </w:style>
  <w:style w:type="character" w:customStyle="1" w:styleId="Fuentedeencabezadopredeter">
    <w:name w:val="Fuente de encabezado predeter."/>
    <w:rsid w:val="0021350F"/>
  </w:style>
  <w:style w:type="character" w:customStyle="1" w:styleId="Documento4">
    <w:name w:val="Documento 4"/>
    <w:rsid w:val="0021350F"/>
    <w:rPr>
      <w:b/>
      <w:i/>
      <w:sz w:val="24"/>
    </w:rPr>
  </w:style>
  <w:style w:type="character" w:customStyle="1" w:styleId="Bibliogr">
    <w:name w:val="Bibliogr."/>
    <w:basedOn w:val="Fuentedeencabezadopredeter"/>
    <w:rsid w:val="0021350F"/>
  </w:style>
  <w:style w:type="character" w:customStyle="1" w:styleId="Documento5">
    <w:name w:val="Documento 5"/>
    <w:basedOn w:val="Fuentedeencabezadopredeter"/>
    <w:rsid w:val="0021350F"/>
  </w:style>
  <w:style w:type="character" w:customStyle="1" w:styleId="Documento2">
    <w:name w:val="Documento 2"/>
    <w:rsid w:val="0021350F"/>
    <w:rPr>
      <w:rFonts w:ascii="Courier" w:hAnsi="Courier"/>
      <w:noProof w:val="0"/>
      <w:sz w:val="24"/>
      <w:lang w:val="en-US"/>
    </w:rPr>
  </w:style>
  <w:style w:type="character" w:customStyle="1" w:styleId="Documento6">
    <w:name w:val="Documento 6"/>
    <w:basedOn w:val="Fuentedeencabezadopredeter"/>
    <w:rsid w:val="0021350F"/>
  </w:style>
  <w:style w:type="character" w:customStyle="1" w:styleId="Documento7">
    <w:name w:val="Documento 7"/>
    <w:basedOn w:val="Fuentedeencabezadopredeter"/>
    <w:rsid w:val="0021350F"/>
  </w:style>
  <w:style w:type="character" w:customStyle="1" w:styleId="Documento8">
    <w:name w:val="Documento 8"/>
    <w:basedOn w:val="Fuentedeencabezadopredeter"/>
    <w:rsid w:val="0021350F"/>
  </w:style>
  <w:style w:type="character" w:customStyle="1" w:styleId="Documento3">
    <w:name w:val="Documento 3"/>
    <w:rsid w:val="0021350F"/>
    <w:rPr>
      <w:rFonts w:ascii="Courier" w:hAnsi="Courier"/>
      <w:noProof w:val="0"/>
      <w:sz w:val="24"/>
      <w:lang w:val="en-US"/>
    </w:rPr>
  </w:style>
  <w:style w:type="paragraph" w:customStyle="1" w:styleId="Prder1">
    <w:name w:val="PÀÀr. der. 1"/>
    <w:rsid w:val="0021350F"/>
    <w:pPr>
      <w:tabs>
        <w:tab w:val="left" w:pos="-720"/>
        <w:tab w:val="left" w:pos="0"/>
        <w:tab w:val="decimal" w:pos="720"/>
      </w:tabs>
      <w:suppressAutoHyphens/>
      <w:spacing w:after="0" w:line="240" w:lineRule="auto"/>
      <w:ind w:left="720" w:hanging="208"/>
    </w:pPr>
    <w:rPr>
      <w:rFonts w:ascii="Courier" w:eastAsia="Times New Roman" w:hAnsi="Courier" w:cs="Times New Roman"/>
      <w:snapToGrid w:val="0"/>
      <w:kern w:val="0"/>
      <w:sz w:val="24"/>
      <w:szCs w:val="20"/>
      <w:lang w:val="en-US" w:eastAsia="es-ES"/>
      <w14:ligatures w14:val="none"/>
    </w:rPr>
  </w:style>
  <w:style w:type="paragraph" w:customStyle="1" w:styleId="Prder2">
    <w:name w:val="PÀÀr. der. 2"/>
    <w:rsid w:val="0021350F"/>
    <w:pPr>
      <w:tabs>
        <w:tab w:val="left" w:pos="-720"/>
        <w:tab w:val="left" w:pos="0"/>
        <w:tab w:val="left" w:pos="720"/>
        <w:tab w:val="decimal" w:pos="1440"/>
      </w:tabs>
      <w:suppressAutoHyphens/>
      <w:spacing w:after="0" w:line="240" w:lineRule="auto"/>
      <w:ind w:left="1440" w:hanging="294"/>
    </w:pPr>
    <w:rPr>
      <w:rFonts w:ascii="Courier" w:eastAsia="Times New Roman" w:hAnsi="Courier" w:cs="Times New Roman"/>
      <w:snapToGrid w:val="0"/>
      <w:kern w:val="0"/>
      <w:sz w:val="24"/>
      <w:szCs w:val="20"/>
      <w:lang w:val="en-US" w:eastAsia="es-ES"/>
      <w14:ligatures w14:val="none"/>
    </w:rPr>
  </w:style>
  <w:style w:type="paragraph" w:customStyle="1" w:styleId="Prder3">
    <w:name w:val="PÀÀr. der. 3"/>
    <w:rsid w:val="0021350F"/>
    <w:pPr>
      <w:tabs>
        <w:tab w:val="left" w:pos="-720"/>
        <w:tab w:val="left" w:pos="0"/>
        <w:tab w:val="left" w:pos="720"/>
        <w:tab w:val="left" w:pos="1440"/>
        <w:tab w:val="decimal" w:pos="2160"/>
      </w:tabs>
      <w:suppressAutoHyphens/>
      <w:spacing w:after="0" w:line="240" w:lineRule="auto"/>
      <w:ind w:left="2160" w:hanging="236"/>
    </w:pPr>
    <w:rPr>
      <w:rFonts w:ascii="Courier" w:eastAsia="Times New Roman" w:hAnsi="Courier" w:cs="Times New Roman"/>
      <w:snapToGrid w:val="0"/>
      <w:kern w:val="0"/>
      <w:sz w:val="24"/>
      <w:szCs w:val="20"/>
      <w:lang w:val="en-US" w:eastAsia="es-ES"/>
      <w14:ligatures w14:val="none"/>
    </w:rPr>
  </w:style>
  <w:style w:type="paragraph" w:customStyle="1" w:styleId="Prder4">
    <w:name w:val="PÀÀr. der. 4"/>
    <w:rsid w:val="0021350F"/>
    <w:pPr>
      <w:tabs>
        <w:tab w:val="left" w:pos="-720"/>
        <w:tab w:val="left" w:pos="0"/>
        <w:tab w:val="left" w:pos="720"/>
        <w:tab w:val="left" w:pos="1440"/>
        <w:tab w:val="left" w:pos="2160"/>
        <w:tab w:val="decimal" w:pos="2880"/>
      </w:tabs>
      <w:suppressAutoHyphens/>
      <w:spacing w:after="0" w:line="240" w:lineRule="auto"/>
      <w:ind w:left="2880" w:hanging="236"/>
    </w:pPr>
    <w:rPr>
      <w:rFonts w:ascii="Courier" w:eastAsia="Times New Roman" w:hAnsi="Courier" w:cs="Times New Roman"/>
      <w:snapToGrid w:val="0"/>
      <w:kern w:val="0"/>
      <w:sz w:val="24"/>
      <w:szCs w:val="20"/>
      <w:lang w:val="en-US" w:eastAsia="es-ES"/>
      <w14:ligatures w14:val="none"/>
    </w:rPr>
  </w:style>
  <w:style w:type="paragraph" w:customStyle="1" w:styleId="Documento1">
    <w:name w:val="Documento 1"/>
    <w:rsid w:val="0021350F"/>
    <w:pPr>
      <w:keepNext/>
      <w:keepLines/>
      <w:tabs>
        <w:tab w:val="left" w:pos="-72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
    <w:name w:val="PÀÀr. der. 5"/>
    <w:rsid w:val="0021350F"/>
    <w:pPr>
      <w:tabs>
        <w:tab w:val="left" w:pos="-720"/>
        <w:tab w:val="left" w:pos="0"/>
        <w:tab w:val="left" w:pos="720"/>
        <w:tab w:val="left" w:pos="1440"/>
        <w:tab w:val="left" w:pos="2160"/>
        <w:tab w:val="left" w:pos="2880"/>
        <w:tab w:val="decimal" w:pos="3600"/>
      </w:tabs>
      <w:suppressAutoHyphens/>
      <w:spacing w:after="0" w:line="240" w:lineRule="auto"/>
      <w:ind w:left="3600" w:hanging="356"/>
    </w:pPr>
    <w:rPr>
      <w:rFonts w:ascii="Courier" w:eastAsia="Times New Roman" w:hAnsi="Courier" w:cs="Times New Roman"/>
      <w:snapToGrid w:val="0"/>
      <w:kern w:val="0"/>
      <w:sz w:val="24"/>
      <w:szCs w:val="20"/>
      <w:lang w:val="en-US" w:eastAsia="es-ES"/>
      <w14:ligatures w14:val="none"/>
    </w:rPr>
  </w:style>
  <w:style w:type="paragraph" w:customStyle="1" w:styleId="Prder6">
    <w:name w:val="PÀÀr. der. 6"/>
    <w:rsid w:val="0021350F"/>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356"/>
    </w:pPr>
    <w:rPr>
      <w:rFonts w:ascii="Courier" w:eastAsia="Times New Roman" w:hAnsi="Courier" w:cs="Times New Roman"/>
      <w:snapToGrid w:val="0"/>
      <w:kern w:val="0"/>
      <w:sz w:val="24"/>
      <w:szCs w:val="20"/>
      <w:lang w:val="en-US" w:eastAsia="es-ES"/>
      <w14:ligatures w14:val="none"/>
    </w:rPr>
  </w:style>
  <w:style w:type="paragraph" w:customStyle="1" w:styleId="Prder7">
    <w:name w:val="PÀÀr. der. 7"/>
    <w:rsid w:val="0021350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222"/>
    </w:pPr>
    <w:rPr>
      <w:rFonts w:ascii="Courier" w:eastAsia="Times New Roman" w:hAnsi="Courier" w:cs="Times New Roman"/>
      <w:snapToGrid w:val="0"/>
      <w:kern w:val="0"/>
      <w:sz w:val="24"/>
      <w:szCs w:val="20"/>
      <w:lang w:val="en-US" w:eastAsia="es-ES"/>
      <w14:ligatures w14:val="none"/>
    </w:rPr>
  </w:style>
  <w:style w:type="paragraph" w:customStyle="1" w:styleId="Prder8">
    <w:name w:val="PÀÀr. der. 8"/>
    <w:rsid w:val="0021350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270"/>
    </w:pPr>
    <w:rPr>
      <w:rFonts w:ascii="Courier" w:eastAsia="Times New Roman" w:hAnsi="Courier" w:cs="Times New Roman"/>
      <w:snapToGrid w:val="0"/>
      <w:kern w:val="0"/>
      <w:sz w:val="24"/>
      <w:szCs w:val="20"/>
      <w:lang w:val="en-US" w:eastAsia="es-ES"/>
      <w14:ligatures w14:val="none"/>
    </w:rPr>
  </w:style>
  <w:style w:type="character" w:customStyle="1" w:styleId="Tcnico2">
    <w:name w:val="TÀ)Àcnico 2"/>
    <w:rsid w:val="0021350F"/>
    <w:rPr>
      <w:rFonts w:ascii="Courier" w:hAnsi="Courier"/>
      <w:noProof w:val="0"/>
      <w:sz w:val="24"/>
      <w:lang w:val="en-US"/>
    </w:rPr>
  </w:style>
  <w:style w:type="character" w:customStyle="1" w:styleId="Tcnico3">
    <w:name w:val="TÀ)Àcnico 3"/>
    <w:rsid w:val="0021350F"/>
    <w:rPr>
      <w:rFonts w:ascii="Courier" w:hAnsi="Courier"/>
      <w:noProof w:val="0"/>
      <w:sz w:val="24"/>
      <w:lang w:val="en-US"/>
    </w:rPr>
  </w:style>
  <w:style w:type="paragraph" w:customStyle="1" w:styleId="Tcnico4">
    <w:name w:val="TÀ)Àcnico 4"/>
    <w:rsid w:val="0021350F"/>
    <w:pPr>
      <w:tabs>
        <w:tab w:val="left" w:pos="-720"/>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
    <w:name w:val="TÀ)Àcnico 1"/>
    <w:rsid w:val="0021350F"/>
    <w:rPr>
      <w:rFonts w:ascii="Courier" w:hAnsi="Courier"/>
      <w:noProof w:val="0"/>
      <w:sz w:val="24"/>
      <w:lang w:val="en-US"/>
    </w:rPr>
  </w:style>
  <w:style w:type="character" w:customStyle="1" w:styleId="Inicdoc">
    <w:name w:val="Inic. doc."/>
    <w:basedOn w:val="Fuentedeencabezadopredeter"/>
    <w:rsid w:val="0021350F"/>
  </w:style>
  <w:style w:type="paragraph" w:customStyle="1" w:styleId="Tcnico5">
    <w:name w:val="TÀ)Àcnico 5"/>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6">
    <w:name w:val="TÀ)Àcnico 6"/>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7">
    <w:name w:val="TÀ)Àcnico 7"/>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8">
    <w:name w:val="TÀ)Àcnico 8"/>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character" w:customStyle="1" w:styleId="Inicestt">
    <w:name w:val="Inic. est. t"/>
    <w:rsid w:val="0021350F"/>
    <w:rPr>
      <w:rFonts w:ascii="Courier" w:hAnsi="Courier"/>
      <w:noProof w:val="0"/>
      <w:sz w:val="24"/>
      <w:lang w:val="en-US"/>
    </w:rPr>
  </w:style>
  <w:style w:type="paragraph" w:customStyle="1" w:styleId="Escrlegal">
    <w:name w:val="Escr. legal"/>
    <w:rsid w:val="0021350F"/>
    <w:pPr>
      <w:tabs>
        <w:tab w:val="left" w:pos="-720"/>
      </w:tabs>
      <w:suppressAutoHyphens/>
      <w:spacing w:after="0" w:line="240" w:lineRule="exact"/>
    </w:pPr>
    <w:rPr>
      <w:rFonts w:ascii="Courier" w:eastAsia="Times New Roman" w:hAnsi="Courier" w:cs="Times New Roman"/>
      <w:snapToGrid w:val="0"/>
      <w:kern w:val="0"/>
      <w:sz w:val="24"/>
      <w:szCs w:val="20"/>
      <w:lang w:val="en-US" w:eastAsia="es-ES"/>
      <w14:ligatures w14:val="none"/>
    </w:rPr>
  </w:style>
  <w:style w:type="character" w:customStyle="1" w:styleId="DefaultParagraphFo">
    <w:name w:val="Default Paragraph Fo"/>
    <w:basedOn w:val="Fuentedeencabezadopredeter"/>
    <w:rsid w:val="0021350F"/>
  </w:style>
  <w:style w:type="character" w:customStyle="1" w:styleId="Fuentedeencabezado">
    <w:name w:val="Fuente de encabezado"/>
    <w:basedOn w:val="Fuentedeencabezadopredeter"/>
    <w:rsid w:val="0021350F"/>
  </w:style>
  <w:style w:type="character" w:customStyle="1" w:styleId="Documento4a">
    <w:name w:val="Documento 4a"/>
    <w:rsid w:val="0021350F"/>
    <w:rPr>
      <w:b/>
      <w:i/>
      <w:sz w:val="24"/>
    </w:rPr>
  </w:style>
  <w:style w:type="character" w:customStyle="1" w:styleId="Documento5a">
    <w:name w:val="Documento 5a"/>
    <w:basedOn w:val="Fuentedeencabezadopredeter"/>
    <w:rsid w:val="0021350F"/>
  </w:style>
  <w:style w:type="character" w:customStyle="1" w:styleId="Documento2a">
    <w:name w:val="Documento 2a"/>
    <w:basedOn w:val="Fuentedeencabezadopredeter"/>
    <w:rsid w:val="0021350F"/>
  </w:style>
  <w:style w:type="character" w:customStyle="1" w:styleId="Documento6a">
    <w:name w:val="Documento 6a"/>
    <w:basedOn w:val="Fuentedeencabezadopredeter"/>
    <w:rsid w:val="0021350F"/>
  </w:style>
  <w:style w:type="character" w:customStyle="1" w:styleId="Documento7a">
    <w:name w:val="Documento 7a"/>
    <w:basedOn w:val="Fuentedeencabezadopredeter"/>
    <w:rsid w:val="0021350F"/>
  </w:style>
  <w:style w:type="character" w:customStyle="1" w:styleId="Documento8a">
    <w:name w:val="Documento 8a"/>
    <w:basedOn w:val="Fuentedeencabezadopredeter"/>
    <w:rsid w:val="0021350F"/>
  </w:style>
  <w:style w:type="character" w:customStyle="1" w:styleId="Documento3a">
    <w:name w:val="Documento 3a"/>
    <w:basedOn w:val="Fuentedeencabezadopredeter"/>
    <w:rsid w:val="0021350F"/>
  </w:style>
  <w:style w:type="paragraph" w:customStyle="1" w:styleId="Prder1a">
    <w:name w:val="PÀÀr. der. 1a"/>
    <w:rsid w:val="0021350F"/>
    <w:pPr>
      <w:tabs>
        <w:tab w:val="left" w:pos="-1026"/>
        <w:tab w:val="left" w:pos="-306"/>
        <w:tab w:val="left" w:pos="205"/>
        <w:tab w:val="decimal"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2a">
    <w:name w:val="PÀÀr. der. 2a"/>
    <w:rsid w:val="0021350F"/>
    <w:pPr>
      <w:tabs>
        <w:tab w:val="left" w:pos="-1026"/>
        <w:tab w:val="left" w:pos="-306"/>
        <w:tab w:val="left" w:pos="414"/>
        <w:tab w:val="left" w:pos="840"/>
        <w:tab w:val="decimal"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3a">
    <w:name w:val="PÀÀr. der. 3a"/>
    <w:rsid w:val="0021350F"/>
    <w:pPr>
      <w:tabs>
        <w:tab w:val="left" w:pos="-1026"/>
        <w:tab w:val="left" w:pos="-306"/>
        <w:tab w:val="left" w:pos="414"/>
        <w:tab w:val="left" w:pos="1134"/>
        <w:tab w:val="left" w:pos="1618"/>
        <w:tab w:val="decimal"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4a">
    <w:name w:val="PÀÀr. der. 4a"/>
    <w:rsid w:val="0021350F"/>
    <w:pPr>
      <w:tabs>
        <w:tab w:val="left" w:pos="-1026"/>
        <w:tab w:val="left" w:pos="-306"/>
        <w:tab w:val="left" w:pos="414"/>
        <w:tab w:val="left" w:pos="1134"/>
        <w:tab w:val="left" w:pos="1854"/>
        <w:tab w:val="left" w:pos="2338"/>
        <w:tab w:val="decimal"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Documento1a">
    <w:name w:val="Documento 1a"/>
    <w:rsid w:val="0021350F"/>
    <w:pPr>
      <w:keepNext/>
      <w:keepLines/>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a">
    <w:name w:val="PÀÀr. der. 5a"/>
    <w:rsid w:val="0021350F"/>
    <w:pPr>
      <w:tabs>
        <w:tab w:val="left" w:pos="-1026"/>
        <w:tab w:val="left" w:pos="-306"/>
        <w:tab w:val="left" w:pos="414"/>
        <w:tab w:val="left" w:pos="1134"/>
        <w:tab w:val="left" w:pos="1854"/>
        <w:tab w:val="left" w:pos="2574"/>
        <w:tab w:val="left" w:pos="2938"/>
        <w:tab w:val="decimal"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6a">
    <w:name w:val="PÀÀr. der. 6a"/>
    <w:rsid w:val="0021350F"/>
    <w:pPr>
      <w:tabs>
        <w:tab w:val="left" w:pos="-1026"/>
        <w:tab w:val="left" w:pos="-306"/>
        <w:tab w:val="left" w:pos="414"/>
        <w:tab w:val="left" w:pos="1134"/>
        <w:tab w:val="left" w:pos="1854"/>
        <w:tab w:val="left" w:pos="2574"/>
        <w:tab w:val="left" w:pos="3294"/>
        <w:tab w:val="left" w:pos="3658"/>
        <w:tab w:val="decimal"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7a">
    <w:name w:val="PÀÀr. der. 7a"/>
    <w:rsid w:val="0021350F"/>
    <w:pPr>
      <w:tabs>
        <w:tab w:val="left" w:pos="-1026"/>
        <w:tab w:val="left" w:pos="-306"/>
        <w:tab w:val="left" w:pos="414"/>
        <w:tab w:val="left" w:pos="1134"/>
        <w:tab w:val="left" w:pos="1854"/>
        <w:tab w:val="left" w:pos="2574"/>
        <w:tab w:val="left" w:pos="3294"/>
        <w:tab w:val="left" w:pos="4014"/>
        <w:tab w:val="left" w:pos="4512"/>
        <w:tab w:val="decimal"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8a">
    <w:name w:val="PÀÀr. der. 8a"/>
    <w:rsid w:val="0021350F"/>
    <w:pPr>
      <w:tabs>
        <w:tab w:val="left" w:pos="-1026"/>
        <w:tab w:val="left" w:pos="-306"/>
        <w:tab w:val="left" w:pos="414"/>
        <w:tab w:val="left" w:pos="1134"/>
        <w:tab w:val="left" w:pos="1854"/>
        <w:tab w:val="left" w:pos="2574"/>
        <w:tab w:val="left" w:pos="3294"/>
        <w:tab w:val="left" w:pos="4014"/>
        <w:tab w:val="left" w:pos="4734"/>
        <w:tab w:val="left" w:pos="5184"/>
        <w:tab w:val="decimal"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character" w:customStyle="1" w:styleId="Tcnico2a">
    <w:name w:val="TÀ)Àcnico 2a"/>
    <w:basedOn w:val="Fuentedeencabezadopredeter"/>
    <w:rsid w:val="0021350F"/>
  </w:style>
  <w:style w:type="character" w:customStyle="1" w:styleId="Tcnico3a">
    <w:name w:val="TÀ)Àcnico 3a"/>
    <w:basedOn w:val="Fuentedeencabezadopredeter"/>
    <w:rsid w:val="0021350F"/>
  </w:style>
  <w:style w:type="paragraph" w:customStyle="1" w:styleId="Tcnico4a">
    <w:name w:val="TÀ)Àcnico 4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a">
    <w:name w:val="TÀ)Àcnico 1a"/>
    <w:basedOn w:val="Fuentedeencabezadopredeter"/>
    <w:rsid w:val="0021350F"/>
  </w:style>
  <w:style w:type="paragraph" w:customStyle="1" w:styleId="Tcnico5a">
    <w:name w:val="TÀ)Àcnico 5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6a">
    <w:name w:val="TÀ)Àcnico 6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7a">
    <w:name w:val="TÀ)Àcnico 7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8a">
    <w:name w:val="TÀ)Àcnico 8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EquationCaption">
    <w:name w:val="_Equation Caption"/>
    <w:basedOn w:val="Fuentedeencabezadopredeter"/>
    <w:rsid w:val="0021350F"/>
  </w:style>
  <w:style w:type="paragraph" w:customStyle="1" w:styleId="ndice1">
    <w:name w:val="índice 1"/>
    <w:basedOn w:val="Normal"/>
    <w:rsid w:val="0021350F"/>
    <w:pPr>
      <w:tabs>
        <w:tab w:val="left" w:leader="dot" w:pos="9000"/>
        <w:tab w:val="right" w:pos="9360"/>
      </w:tabs>
      <w:suppressAutoHyphens/>
      <w:spacing w:after="0" w:line="240" w:lineRule="auto"/>
      <w:ind w:left="1440" w:right="720" w:hanging="1440"/>
    </w:pPr>
    <w:rPr>
      <w:rFonts w:ascii="Courier" w:eastAsia="Times New Roman" w:hAnsi="Courier" w:cs="Times New Roman"/>
      <w:snapToGrid w:val="0"/>
      <w:kern w:val="0"/>
      <w:sz w:val="24"/>
      <w:szCs w:val="20"/>
      <w:lang w:val="en-US" w:eastAsia="es-ES"/>
      <w14:ligatures w14:val="none"/>
    </w:rPr>
  </w:style>
  <w:style w:type="paragraph" w:customStyle="1" w:styleId="ndice2">
    <w:name w:val="índice 2"/>
    <w:basedOn w:val="Normal"/>
    <w:rsid w:val="0021350F"/>
    <w:pPr>
      <w:tabs>
        <w:tab w:val="left" w:leader="dot" w:pos="9000"/>
        <w:tab w:val="right" w:pos="9360"/>
      </w:tabs>
      <w:suppressAutoHyphens/>
      <w:spacing w:after="0" w:line="240" w:lineRule="auto"/>
      <w:ind w:left="1440" w:right="720" w:hanging="720"/>
    </w:pPr>
    <w:rPr>
      <w:rFonts w:ascii="Courier" w:eastAsia="Times New Roman" w:hAnsi="Courier" w:cs="Times New Roman"/>
      <w:snapToGrid w:val="0"/>
      <w:kern w:val="0"/>
      <w:sz w:val="24"/>
      <w:szCs w:val="20"/>
      <w:lang w:val="en-US" w:eastAsia="es-ES"/>
      <w14:ligatures w14:val="none"/>
    </w:rPr>
  </w:style>
  <w:style w:type="paragraph" w:customStyle="1" w:styleId="toa">
    <w:name w:val="toa"/>
    <w:basedOn w:val="Normal"/>
    <w:uiPriority w:val="99"/>
    <w:rsid w:val="0021350F"/>
    <w:pPr>
      <w:tabs>
        <w:tab w:val="left" w:pos="9000"/>
        <w:tab w:val="right" w:pos="936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epgrafe">
    <w:name w:val="epígrafe"/>
    <w:basedOn w:val="Normal"/>
    <w:rsid w:val="0021350F"/>
    <w:pPr>
      <w:spacing w:after="0" w:line="240" w:lineRule="auto"/>
    </w:pPr>
    <w:rPr>
      <w:rFonts w:ascii="Courier" w:eastAsia="Times New Roman" w:hAnsi="Courier" w:cs="Times New Roman"/>
      <w:snapToGrid w:val="0"/>
      <w:kern w:val="0"/>
      <w:sz w:val="24"/>
      <w:szCs w:val="20"/>
      <w:lang w:val="es-ES_tradnl" w:eastAsia="es-ES"/>
      <w14:ligatures w14:val="none"/>
    </w:rPr>
  </w:style>
  <w:style w:type="character" w:customStyle="1" w:styleId="EquationCaption1">
    <w:name w:val="_Equation Caption1"/>
    <w:rsid w:val="0021350F"/>
  </w:style>
  <w:style w:type="paragraph" w:styleId="Textoindependiente">
    <w:name w:val="Body Text"/>
    <w:basedOn w:val="Normal"/>
    <w:link w:val="TextoindependienteCar"/>
    <w:rsid w:val="0021350F"/>
    <w:pPr>
      <w:spacing w:after="0" w:line="240" w:lineRule="atLeast"/>
      <w:jc w:val="both"/>
    </w:pPr>
    <w:rPr>
      <w:rFonts w:ascii="Arial" w:eastAsia="Times New Roman" w:hAnsi="Arial" w:cs="Times New Roman"/>
      <w:snapToGrid w:val="0"/>
      <w:spacing w:val="20"/>
      <w:kern w:val="0"/>
      <w:sz w:val="16"/>
      <w:szCs w:val="20"/>
      <w:lang w:val="es-ES_tradnl" w:eastAsia="es-ES"/>
      <w14:ligatures w14:val="none"/>
    </w:rPr>
  </w:style>
  <w:style w:type="character" w:customStyle="1" w:styleId="TextoindependienteCar">
    <w:name w:val="Texto independiente Car"/>
    <w:basedOn w:val="Fuentedeprrafopredeter"/>
    <w:link w:val="Textoindependiente"/>
    <w:rsid w:val="0021350F"/>
    <w:rPr>
      <w:rFonts w:ascii="Arial" w:eastAsia="Times New Roman" w:hAnsi="Arial" w:cs="Times New Roman"/>
      <w:snapToGrid w:val="0"/>
      <w:spacing w:val="20"/>
      <w:kern w:val="0"/>
      <w:sz w:val="16"/>
      <w:szCs w:val="20"/>
      <w:lang w:val="es-ES_tradnl" w:eastAsia="es-ES"/>
      <w14:ligatures w14:val="none"/>
    </w:rPr>
  </w:style>
  <w:style w:type="paragraph" w:styleId="Sangradetextonormal">
    <w:name w:val="Body Text Indent"/>
    <w:basedOn w:val="Normal"/>
    <w:link w:val="SangradetextonormalCar"/>
    <w:rsid w:val="0021350F"/>
    <w:pPr>
      <w:spacing w:after="0" w:line="240" w:lineRule="auto"/>
      <w:ind w:left="2127" w:hanging="1410"/>
      <w:jc w:val="both"/>
    </w:pPr>
    <w:rPr>
      <w:rFonts w:ascii="Arial" w:eastAsia="Times New Roman" w:hAnsi="Arial" w:cs="Times New Roman"/>
      <w:snapToGrid w:val="0"/>
      <w:kern w:val="0"/>
      <w:szCs w:val="20"/>
      <w:lang w:val="es-MX" w:eastAsia="es-ES"/>
      <w14:ligatures w14:val="none"/>
    </w:rPr>
  </w:style>
  <w:style w:type="character" w:customStyle="1" w:styleId="SangradetextonormalCar">
    <w:name w:val="Sangría de texto normal Car"/>
    <w:basedOn w:val="Fuentedeprrafopredeter"/>
    <w:link w:val="Sangradetextonormal"/>
    <w:rsid w:val="0021350F"/>
    <w:rPr>
      <w:rFonts w:ascii="Arial" w:eastAsia="Times New Roman" w:hAnsi="Arial" w:cs="Times New Roman"/>
      <w:snapToGrid w:val="0"/>
      <w:kern w:val="0"/>
      <w:szCs w:val="20"/>
      <w:lang w:val="es-MX" w:eastAsia="es-ES"/>
      <w14:ligatures w14:val="none"/>
    </w:rPr>
  </w:style>
  <w:style w:type="paragraph" w:styleId="Sangra2detindependiente">
    <w:name w:val="Body Text Indent 2"/>
    <w:basedOn w:val="Normal"/>
    <w:link w:val="Sangra2detindependienteCar"/>
    <w:rsid w:val="0021350F"/>
    <w:pPr>
      <w:suppressAutoHyphens/>
      <w:spacing w:after="0" w:line="240" w:lineRule="auto"/>
      <w:ind w:left="284" w:hanging="284"/>
      <w:jc w:val="both"/>
    </w:pPr>
    <w:rPr>
      <w:rFonts w:ascii="Times New Roman" w:eastAsia="Times New Roman" w:hAnsi="Times New Roman" w:cs="Times New Roman"/>
      <w:kern w:val="0"/>
      <w:sz w:val="24"/>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21350F"/>
    <w:rPr>
      <w:rFonts w:ascii="Times New Roman" w:eastAsia="Times New Roman" w:hAnsi="Times New Roman" w:cs="Times New Roman"/>
      <w:kern w:val="0"/>
      <w:sz w:val="24"/>
      <w:szCs w:val="20"/>
      <w:lang w:val="es-ES_tradnl" w:eastAsia="es-ES"/>
      <w14:ligatures w14:val="none"/>
    </w:rPr>
  </w:style>
  <w:style w:type="character" w:styleId="Refdecomentario">
    <w:name w:val="annotation reference"/>
    <w:semiHidden/>
    <w:rsid w:val="0021350F"/>
    <w:rPr>
      <w:sz w:val="16"/>
      <w:szCs w:val="16"/>
    </w:rPr>
  </w:style>
  <w:style w:type="paragraph" w:styleId="Textocomentario">
    <w:name w:val="annotation text"/>
    <w:basedOn w:val="Normal"/>
    <w:link w:val="TextocomentarioCar"/>
    <w:uiPriority w:val="99"/>
    <w:semiHidden/>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comentarioCar">
    <w:name w:val="Texto comentario Car"/>
    <w:basedOn w:val="Fuentedeprrafopredeter"/>
    <w:link w:val="Textocomentario"/>
    <w:uiPriority w:val="99"/>
    <w:semiHidden/>
    <w:rsid w:val="0021350F"/>
    <w:rPr>
      <w:rFonts w:ascii="Times New Roman" w:eastAsia="Times New Roman" w:hAnsi="Times New Roman" w:cs="Times New Roman"/>
      <w:snapToGrid w:val="0"/>
      <w:kern w:val="0"/>
      <w:sz w:val="20"/>
      <w:szCs w:val="20"/>
      <w:lang w:val="es-ES_tradnl" w:eastAsia="es-ES"/>
      <w14:ligatures w14:val="none"/>
    </w:rPr>
  </w:style>
  <w:style w:type="paragraph" w:styleId="Asuntodelcomentario">
    <w:name w:val="annotation subject"/>
    <w:basedOn w:val="Textocomentario"/>
    <w:next w:val="Textocomentario"/>
    <w:link w:val="AsuntodelcomentarioCar"/>
    <w:semiHidden/>
    <w:rsid w:val="0021350F"/>
    <w:rPr>
      <w:b/>
      <w:bCs/>
    </w:rPr>
  </w:style>
  <w:style w:type="character" w:customStyle="1" w:styleId="AsuntodelcomentarioCar">
    <w:name w:val="Asunto del comentario Car"/>
    <w:basedOn w:val="TextocomentarioCar"/>
    <w:link w:val="Asuntodelcomentario"/>
    <w:semiHidden/>
    <w:rsid w:val="0021350F"/>
    <w:rPr>
      <w:rFonts w:ascii="Times New Roman" w:eastAsia="Times New Roman" w:hAnsi="Times New Roman" w:cs="Times New Roman"/>
      <w:b/>
      <w:bCs/>
      <w:snapToGrid w:val="0"/>
      <w:kern w:val="0"/>
      <w:sz w:val="20"/>
      <w:szCs w:val="20"/>
      <w:lang w:val="es-ES_tradnl" w:eastAsia="es-ES"/>
      <w14:ligatures w14:val="none"/>
    </w:rPr>
  </w:style>
  <w:style w:type="paragraph" w:styleId="Textodeglobo">
    <w:name w:val="Balloon Text"/>
    <w:basedOn w:val="Normal"/>
    <w:link w:val="TextodegloboCar"/>
    <w:semiHidden/>
    <w:rsid w:val="0021350F"/>
    <w:pPr>
      <w:spacing w:after="0" w:line="240" w:lineRule="auto"/>
    </w:pPr>
    <w:rPr>
      <w:rFonts w:ascii="Tahoma" w:eastAsia="Times New Roman" w:hAnsi="Tahoma" w:cs="Times New Roman"/>
      <w:snapToGrid w:val="0"/>
      <w:kern w:val="0"/>
      <w:sz w:val="16"/>
      <w:szCs w:val="16"/>
      <w:lang w:val="es-ES_tradnl" w:eastAsia="es-ES"/>
      <w14:ligatures w14:val="none"/>
    </w:rPr>
  </w:style>
  <w:style w:type="character" w:customStyle="1" w:styleId="TextodegloboCar">
    <w:name w:val="Texto de globo Car"/>
    <w:basedOn w:val="Fuentedeprrafopredeter"/>
    <w:link w:val="Textodeglobo"/>
    <w:semiHidden/>
    <w:rsid w:val="0021350F"/>
    <w:rPr>
      <w:rFonts w:ascii="Tahoma" w:eastAsia="Times New Roman" w:hAnsi="Tahoma" w:cs="Times New Roman"/>
      <w:snapToGrid w:val="0"/>
      <w:kern w:val="0"/>
      <w:sz w:val="16"/>
      <w:szCs w:val="16"/>
      <w:lang w:val="es-ES_tradnl" w:eastAsia="es-ES"/>
      <w14:ligatures w14:val="none"/>
    </w:rPr>
  </w:style>
  <w:style w:type="paragraph" w:styleId="Textonotapie">
    <w:name w:val="footnote text"/>
    <w:basedOn w:val="Normal"/>
    <w:link w:val="TextonotapieCar"/>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rsid w:val="0021350F"/>
    <w:rPr>
      <w:rFonts w:ascii="Times New Roman" w:eastAsia="Times New Roman" w:hAnsi="Times New Roman" w:cs="Times New Roman"/>
      <w:snapToGrid w:val="0"/>
      <w:kern w:val="0"/>
      <w:sz w:val="20"/>
      <w:szCs w:val="20"/>
      <w:lang w:val="es-ES_tradnl" w:eastAsia="es-ES"/>
      <w14:ligatures w14:val="none"/>
    </w:rPr>
  </w:style>
  <w:style w:type="character" w:styleId="Refdenotaalpie">
    <w:name w:val="footnote reference"/>
    <w:semiHidden/>
    <w:rsid w:val="0021350F"/>
    <w:rPr>
      <w:vertAlign w:val="superscript"/>
    </w:rPr>
  </w:style>
  <w:style w:type="character" w:styleId="Hipervnculo">
    <w:name w:val="Hyperlink"/>
    <w:uiPriority w:val="99"/>
    <w:unhideWhenUsed/>
    <w:rsid w:val="0021350F"/>
    <w:rPr>
      <w:color w:val="0000FF"/>
      <w:u w:val="single"/>
    </w:rPr>
  </w:style>
  <w:style w:type="character" w:styleId="Hipervnculovisitado">
    <w:name w:val="FollowedHyperlink"/>
    <w:uiPriority w:val="99"/>
    <w:unhideWhenUsed/>
    <w:rsid w:val="0021350F"/>
    <w:rPr>
      <w:color w:val="800080"/>
      <w:u w:val="single"/>
    </w:rPr>
  </w:style>
  <w:style w:type="paragraph" w:customStyle="1" w:styleId="xl69">
    <w:name w:val="xl69"/>
    <w:basedOn w:val="Normal"/>
    <w:rsid w:val="0021350F"/>
    <w:pP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70">
    <w:name w:val="xl70"/>
    <w:basedOn w:val="Normal"/>
    <w:rsid w:val="0021350F"/>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1">
    <w:name w:val="xl71"/>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both"/>
      <w:textAlignment w:val="center"/>
    </w:pPr>
    <w:rPr>
      <w:rFonts w:ascii="Arial" w:eastAsia="Times New Roman" w:hAnsi="Arial" w:cs="Arial"/>
      <w:kern w:val="0"/>
      <w:sz w:val="18"/>
      <w:szCs w:val="18"/>
      <w:lang w:eastAsia="es-CO"/>
      <w14:ligatures w14:val="none"/>
    </w:rPr>
  </w:style>
  <w:style w:type="paragraph" w:customStyle="1" w:styleId="xl72">
    <w:name w:val="xl72"/>
    <w:basedOn w:val="Normal"/>
    <w:rsid w:val="00213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3">
    <w:name w:val="xl73"/>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Default">
    <w:name w:val="Default"/>
    <w:uiPriority w:val="99"/>
    <w:rsid w:val="0021350F"/>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xl74">
    <w:name w:val="xl74"/>
    <w:basedOn w:val="Normal"/>
    <w:rsid w:val="00213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5">
    <w:name w:val="xl75"/>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6">
    <w:name w:val="xl76"/>
    <w:basedOn w:val="Normal"/>
    <w:rsid w:val="0021350F"/>
    <w:pP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7">
    <w:name w:val="xl77"/>
    <w:basedOn w:val="Normal"/>
    <w:rsid w:val="00213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styleId="NormalWeb">
    <w:name w:val="Normal (Web)"/>
    <w:basedOn w:val="Normal"/>
    <w:uiPriority w:val="99"/>
    <w:unhideWhenUsed/>
    <w:rsid w:val="0021350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Revisin">
    <w:name w:val="Revision"/>
    <w:hidden/>
    <w:uiPriority w:val="99"/>
    <w:semiHidden/>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paragraph" w:customStyle="1" w:styleId="xl78">
    <w:name w:val="xl78"/>
    <w:basedOn w:val="Normal"/>
    <w:rsid w:val="0021350F"/>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b/>
      <w:bCs/>
      <w:kern w:val="0"/>
      <w:sz w:val="16"/>
      <w:szCs w:val="16"/>
      <w:lang w:eastAsia="es-CO"/>
      <w14:ligatures w14:val="none"/>
    </w:rPr>
  </w:style>
  <w:style w:type="paragraph" w:customStyle="1" w:styleId="xl79">
    <w:name w:val="xl79"/>
    <w:basedOn w:val="Normal"/>
    <w:rsid w:val="0021350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0">
    <w:name w:val="xl80"/>
    <w:basedOn w:val="Normal"/>
    <w:rsid w:val="0021350F"/>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customStyle="1" w:styleId="xl81">
    <w:name w:val="xl81"/>
    <w:basedOn w:val="Normal"/>
    <w:rsid w:val="0021350F"/>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2">
    <w:name w:val="xl82"/>
    <w:basedOn w:val="Normal"/>
    <w:rsid w:val="0021350F"/>
    <w:pPr>
      <w:shd w:val="clear" w:color="000000" w:fill="C0504D"/>
      <w:spacing w:before="100" w:beforeAutospacing="1" w:after="100" w:afterAutospacing="1" w:line="240" w:lineRule="auto"/>
    </w:pPr>
    <w:rPr>
      <w:rFonts w:ascii="Arial" w:eastAsia="Times New Roman" w:hAnsi="Arial" w:cs="Arial"/>
      <w:kern w:val="0"/>
      <w:sz w:val="16"/>
      <w:szCs w:val="16"/>
      <w:lang w:eastAsia="es-CO"/>
      <w14:ligatures w14:val="none"/>
    </w:rPr>
  </w:style>
  <w:style w:type="paragraph" w:customStyle="1" w:styleId="xl83">
    <w:name w:val="xl83"/>
    <w:basedOn w:val="Normal"/>
    <w:rsid w:val="0021350F"/>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ascii="Arial" w:eastAsia="Times New Roman" w:hAnsi="Arial" w:cs="Arial"/>
      <w:kern w:val="0"/>
      <w:sz w:val="16"/>
      <w:szCs w:val="16"/>
      <w:lang w:eastAsia="es-CO"/>
      <w14:ligatures w14:val="none"/>
    </w:rPr>
  </w:style>
  <w:style w:type="paragraph" w:customStyle="1" w:styleId="xl84">
    <w:name w:val="xl84"/>
    <w:basedOn w:val="Normal"/>
    <w:rsid w:val="0021350F"/>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5">
    <w:name w:val="xl85"/>
    <w:basedOn w:val="Normal"/>
    <w:rsid w:val="0021350F"/>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6">
    <w:name w:val="xl86"/>
    <w:basedOn w:val="Normal"/>
    <w:rsid w:val="0021350F"/>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styleId="Sinespaciado">
    <w:name w:val="No Spacing"/>
    <w:uiPriority w:val="1"/>
    <w:qFormat/>
    <w:rsid w:val="0021350F"/>
    <w:pPr>
      <w:spacing w:after="0" w:line="240" w:lineRule="auto"/>
    </w:pPr>
    <w:rPr>
      <w:rFonts w:ascii="Calibri" w:eastAsia="Calibri" w:hAnsi="Calibri" w:cs="Times New Roman"/>
      <w:kern w:val="0"/>
      <w14:ligatures w14:val="none"/>
    </w:rPr>
  </w:style>
  <w:style w:type="paragraph" w:styleId="TDC1">
    <w:name w:val="toc 1"/>
    <w:basedOn w:val="Normal"/>
    <w:next w:val="Normal"/>
    <w:autoRedefine/>
    <w:uiPriority w:val="39"/>
    <w:rsid w:val="0021350F"/>
    <w:pPr>
      <w:spacing w:before="120" w:after="120" w:line="240" w:lineRule="auto"/>
    </w:pPr>
    <w:rPr>
      <w:rFonts w:ascii="Calibri" w:eastAsia="Times New Roman" w:hAnsi="Calibri" w:cs="Calibri"/>
      <w:b/>
      <w:bCs/>
      <w:caps/>
      <w:snapToGrid w:val="0"/>
      <w:kern w:val="0"/>
      <w:sz w:val="20"/>
      <w:szCs w:val="20"/>
      <w:lang w:val="es-ES_tradnl" w:eastAsia="es-ES"/>
      <w14:ligatures w14:val="none"/>
    </w:rPr>
  </w:style>
  <w:style w:type="paragraph" w:styleId="TDC2">
    <w:name w:val="toc 2"/>
    <w:basedOn w:val="Normal"/>
    <w:next w:val="Normal"/>
    <w:autoRedefine/>
    <w:uiPriority w:val="39"/>
    <w:rsid w:val="0021350F"/>
    <w:pPr>
      <w:spacing w:after="0" w:line="240" w:lineRule="auto"/>
      <w:ind w:left="200"/>
    </w:pPr>
    <w:rPr>
      <w:rFonts w:ascii="Calibri" w:eastAsia="Times New Roman" w:hAnsi="Calibri" w:cs="Calibri"/>
      <w:smallCaps/>
      <w:snapToGrid w:val="0"/>
      <w:kern w:val="0"/>
      <w:sz w:val="20"/>
      <w:szCs w:val="20"/>
      <w:lang w:val="es-ES_tradnl" w:eastAsia="es-ES"/>
      <w14:ligatures w14:val="none"/>
    </w:rPr>
  </w:style>
  <w:style w:type="paragraph" w:styleId="TDC3">
    <w:name w:val="toc 3"/>
    <w:basedOn w:val="Normal"/>
    <w:next w:val="Normal"/>
    <w:autoRedefine/>
    <w:uiPriority w:val="39"/>
    <w:rsid w:val="0021350F"/>
    <w:pPr>
      <w:spacing w:after="0" w:line="240" w:lineRule="auto"/>
      <w:ind w:left="400"/>
    </w:pPr>
    <w:rPr>
      <w:rFonts w:ascii="Calibri" w:eastAsia="Times New Roman" w:hAnsi="Calibri" w:cs="Calibri"/>
      <w:i/>
      <w:iCs/>
      <w:snapToGrid w:val="0"/>
      <w:kern w:val="0"/>
      <w:sz w:val="20"/>
      <w:szCs w:val="20"/>
      <w:lang w:val="es-ES_tradnl" w:eastAsia="es-ES"/>
      <w14:ligatures w14:val="none"/>
    </w:rPr>
  </w:style>
  <w:style w:type="paragraph" w:styleId="TDC4">
    <w:name w:val="toc 4"/>
    <w:basedOn w:val="Normal"/>
    <w:next w:val="Normal"/>
    <w:autoRedefine/>
    <w:rsid w:val="0021350F"/>
    <w:pPr>
      <w:spacing w:after="0" w:line="240" w:lineRule="auto"/>
      <w:ind w:left="600"/>
    </w:pPr>
    <w:rPr>
      <w:rFonts w:ascii="Calibri" w:eastAsia="Times New Roman" w:hAnsi="Calibri" w:cs="Calibri"/>
      <w:snapToGrid w:val="0"/>
      <w:kern w:val="0"/>
      <w:sz w:val="18"/>
      <w:szCs w:val="18"/>
      <w:lang w:val="es-ES_tradnl" w:eastAsia="es-ES"/>
      <w14:ligatures w14:val="none"/>
    </w:rPr>
  </w:style>
  <w:style w:type="paragraph" w:styleId="TDC5">
    <w:name w:val="toc 5"/>
    <w:basedOn w:val="Normal"/>
    <w:next w:val="Normal"/>
    <w:autoRedefine/>
    <w:rsid w:val="0021350F"/>
    <w:pPr>
      <w:spacing w:after="0" w:line="240" w:lineRule="auto"/>
      <w:ind w:left="800"/>
    </w:pPr>
    <w:rPr>
      <w:rFonts w:ascii="Calibri" w:eastAsia="Times New Roman" w:hAnsi="Calibri" w:cs="Calibri"/>
      <w:snapToGrid w:val="0"/>
      <w:kern w:val="0"/>
      <w:sz w:val="18"/>
      <w:szCs w:val="18"/>
      <w:lang w:val="es-ES_tradnl" w:eastAsia="es-ES"/>
      <w14:ligatures w14:val="none"/>
    </w:rPr>
  </w:style>
  <w:style w:type="paragraph" w:styleId="TDC6">
    <w:name w:val="toc 6"/>
    <w:basedOn w:val="Normal"/>
    <w:next w:val="Normal"/>
    <w:autoRedefine/>
    <w:rsid w:val="0021350F"/>
    <w:pPr>
      <w:spacing w:after="0" w:line="240" w:lineRule="auto"/>
      <w:ind w:left="1000"/>
    </w:pPr>
    <w:rPr>
      <w:rFonts w:ascii="Calibri" w:eastAsia="Times New Roman" w:hAnsi="Calibri" w:cs="Calibri"/>
      <w:snapToGrid w:val="0"/>
      <w:kern w:val="0"/>
      <w:sz w:val="18"/>
      <w:szCs w:val="18"/>
      <w:lang w:val="es-ES_tradnl" w:eastAsia="es-ES"/>
      <w14:ligatures w14:val="none"/>
    </w:rPr>
  </w:style>
  <w:style w:type="paragraph" w:styleId="TDC7">
    <w:name w:val="toc 7"/>
    <w:basedOn w:val="Normal"/>
    <w:next w:val="Normal"/>
    <w:autoRedefine/>
    <w:rsid w:val="0021350F"/>
    <w:pPr>
      <w:spacing w:after="0" w:line="240" w:lineRule="auto"/>
      <w:ind w:left="1200"/>
    </w:pPr>
    <w:rPr>
      <w:rFonts w:ascii="Calibri" w:eastAsia="Times New Roman" w:hAnsi="Calibri" w:cs="Calibri"/>
      <w:snapToGrid w:val="0"/>
      <w:kern w:val="0"/>
      <w:sz w:val="18"/>
      <w:szCs w:val="18"/>
      <w:lang w:val="es-ES_tradnl" w:eastAsia="es-ES"/>
      <w14:ligatures w14:val="none"/>
    </w:rPr>
  </w:style>
  <w:style w:type="paragraph" w:styleId="TDC8">
    <w:name w:val="toc 8"/>
    <w:basedOn w:val="Normal"/>
    <w:next w:val="Normal"/>
    <w:autoRedefine/>
    <w:rsid w:val="0021350F"/>
    <w:pPr>
      <w:spacing w:after="0" w:line="240" w:lineRule="auto"/>
      <w:ind w:left="1400"/>
    </w:pPr>
    <w:rPr>
      <w:rFonts w:ascii="Calibri" w:eastAsia="Times New Roman" w:hAnsi="Calibri" w:cs="Calibri"/>
      <w:snapToGrid w:val="0"/>
      <w:kern w:val="0"/>
      <w:sz w:val="18"/>
      <w:szCs w:val="18"/>
      <w:lang w:val="es-ES_tradnl" w:eastAsia="es-ES"/>
      <w14:ligatures w14:val="none"/>
    </w:rPr>
  </w:style>
  <w:style w:type="paragraph" w:styleId="TDC9">
    <w:name w:val="toc 9"/>
    <w:basedOn w:val="Normal"/>
    <w:next w:val="Normal"/>
    <w:autoRedefine/>
    <w:rsid w:val="0021350F"/>
    <w:pPr>
      <w:spacing w:after="0" w:line="240" w:lineRule="auto"/>
      <w:ind w:left="1600"/>
    </w:pPr>
    <w:rPr>
      <w:rFonts w:ascii="Calibri" w:eastAsia="Times New Roman" w:hAnsi="Calibri" w:cs="Calibri"/>
      <w:snapToGrid w:val="0"/>
      <w:kern w:val="0"/>
      <w:sz w:val="18"/>
      <w:szCs w:val="18"/>
      <w:lang w:val="es-ES_tradnl" w:eastAsia="es-ES"/>
      <w14:ligatures w14:val="none"/>
    </w:rPr>
  </w:style>
  <w:style w:type="character" w:styleId="Textodelmarcadordeposicin">
    <w:name w:val="Placeholder Text"/>
    <w:uiPriority w:val="99"/>
    <w:semiHidden/>
    <w:rsid w:val="0021350F"/>
    <w:rPr>
      <w:color w:val="808080"/>
    </w:rPr>
  </w:style>
  <w:style w:type="paragraph" w:styleId="Textoindependiente3">
    <w:name w:val="Body Text 3"/>
    <w:basedOn w:val="Normal"/>
    <w:link w:val="Textoindependiente3Car"/>
    <w:rsid w:val="0021350F"/>
    <w:pPr>
      <w:spacing w:after="120" w:line="240" w:lineRule="auto"/>
    </w:pPr>
    <w:rPr>
      <w:rFonts w:ascii="Times New Roman" w:eastAsia="Times New Roman" w:hAnsi="Times New Roman" w:cs="Times New Roman"/>
      <w:snapToGrid w:val="0"/>
      <w:kern w:val="0"/>
      <w:sz w:val="16"/>
      <w:szCs w:val="16"/>
      <w:lang w:val="es-ES_tradnl" w:eastAsia="es-ES"/>
      <w14:ligatures w14:val="none"/>
    </w:rPr>
  </w:style>
  <w:style w:type="character" w:customStyle="1" w:styleId="Textoindependiente3Car">
    <w:name w:val="Texto independiente 3 Car"/>
    <w:basedOn w:val="Fuentedeprrafopredeter"/>
    <w:link w:val="Textoindependiente3"/>
    <w:rsid w:val="0021350F"/>
    <w:rPr>
      <w:rFonts w:ascii="Times New Roman" w:eastAsia="Times New Roman" w:hAnsi="Times New Roman" w:cs="Times New Roman"/>
      <w:snapToGrid w:val="0"/>
      <w:kern w:val="0"/>
      <w:sz w:val="16"/>
      <w:szCs w:val="16"/>
      <w:lang w:val="es-ES_tradnl" w:eastAsia="es-ES"/>
      <w14:ligatures w14:val="none"/>
    </w:rPr>
  </w:style>
  <w:style w:type="table" w:styleId="Tablaconcuadrcula">
    <w:name w:val="Table Grid"/>
    <w:basedOn w:val="Tablanormal"/>
    <w:uiPriority w:val="59"/>
    <w:rsid w:val="0021350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t">
    <w:name w:val="Normal + 9 pt"/>
    <w:aliases w:val="Sin Expandido / Comprimido"/>
    <w:basedOn w:val="Textoindependiente"/>
    <w:rsid w:val="0021350F"/>
    <w:pPr>
      <w:numPr>
        <w:numId w:val="1"/>
      </w:numPr>
      <w:spacing w:line="240" w:lineRule="auto"/>
    </w:pPr>
    <w:rPr>
      <w:rFonts w:cs="Arial"/>
      <w:i/>
      <w:snapToGrid/>
      <w:spacing w:val="0"/>
      <w:sz w:val="18"/>
      <w:szCs w:val="18"/>
      <w:lang w:val="es-MX" w:eastAsia="es-CO"/>
    </w:rPr>
  </w:style>
  <w:style w:type="character" w:customStyle="1" w:styleId="Mencinsinresolver1">
    <w:name w:val="Mención sin resolver1"/>
    <w:basedOn w:val="Fuentedeprrafopredeter"/>
    <w:uiPriority w:val="99"/>
    <w:semiHidden/>
    <w:unhideWhenUsed/>
    <w:rsid w:val="0021350F"/>
    <w:rPr>
      <w:color w:val="605E5C"/>
      <w:shd w:val="clear" w:color="auto" w:fill="E1DFDD"/>
    </w:rPr>
  </w:style>
  <w:style w:type="paragraph" w:customStyle="1" w:styleId="Titulo2">
    <w:name w:val="Titulo 2"/>
    <w:basedOn w:val="Normal"/>
    <w:rsid w:val="0021350F"/>
    <w:pPr>
      <w:numPr>
        <w:numId w:val="2"/>
      </w:numPr>
      <w:spacing w:after="0" w:line="240" w:lineRule="auto"/>
    </w:pPr>
    <w:rPr>
      <w:rFonts w:ascii="Times New Roman" w:eastAsia="Times New Roman" w:hAnsi="Times New Roman" w:cs="Times New Roman"/>
      <w:kern w:val="0"/>
      <w:sz w:val="24"/>
      <w:szCs w:val="24"/>
      <w:lang w:val="es-ES" w:eastAsia="es-ES"/>
      <w14:ligatures w14:val="none"/>
    </w:rPr>
  </w:style>
  <w:style w:type="paragraph" w:customStyle="1" w:styleId="Titulo">
    <w:name w:val="Titulo"/>
    <w:basedOn w:val="Normal"/>
    <w:rsid w:val="0021350F"/>
    <w:pPr>
      <w:numPr>
        <w:ilvl w:val="1"/>
        <w:numId w:val="2"/>
      </w:numPr>
      <w:spacing w:after="0" w:line="240" w:lineRule="auto"/>
    </w:pPr>
    <w:rPr>
      <w:rFonts w:ascii="Times New Roman" w:eastAsia="Times New Roman" w:hAnsi="Times New Roman" w:cs="Times New Roman"/>
      <w:kern w:val="0"/>
      <w:sz w:val="24"/>
      <w:szCs w:val="24"/>
      <w:lang w:val="es-ES" w:eastAsia="es-ES"/>
      <w14:ligatures w14:val="none"/>
    </w:rPr>
  </w:style>
  <w:style w:type="character" w:styleId="Fuerte">
    <w:name w:val="Strong"/>
    <w:basedOn w:val="Fuentedeprrafopredeter"/>
    <w:uiPriority w:val="22"/>
    <w:qFormat/>
    <w:rsid w:val="0021350F"/>
    <w:rPr>
      <w:b/>
      <w:bCs/>
    </w:rPr>
  </w:style>
  <w:style w:type="character" w:styleId="nfasis">
    <w:name w:val="Emphasis"/>
    <w:basedOn w:val="Fuentedeprrafopredeter"/>
    <w:uiPriority w:val="20"/>
    <w:qFormat/>
    <w:rsid w:val="0021350F"/>
    <w:rPr>
      <w:i/>
      <w:iCs/>
    </w:rPr>
  </w:style>
  <w:style w:type="character" w:customStyle="1" w:styleId="ui-provider">
    <w:name w:val="ui-provider"/>
    <w:basedOn w:val="Fuentedeprrafopredeter"/>
    <w:rsid w:val="0021350F"/>
  </w:style>
  <w:style w:type="character" w:styleId="Mencinsinresolver">
    <w:name w:val="Unresolved Mention"/>
    <w:basedOn w:val="Fuentedeprrafopredeter"/>
    <w:uiPriority w:val="99"/>
    <w:semiHidden/>
    <w:unhideWhenUsed/>
    <w:rsid w:val="0021350F"/>
    <w:rPr>
      <w:color w:val="605E5C"/>
      <w:shd w:val="clear" w:color="auto" w:fill="E1DFDD"/>
    </w:rPr>
  </w:style>
  <w:style w:type="character" w:customStyle="1" w:styleId="normaltextrun">
    <w:name w:val="normaltextrun"/>
    <w:basedOn w:val="Fuentedeprrafopredeter"/>
    <w:rsid w:val="00923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262020">
      <w:bodyDiv w:val="1"/>
      <w:marLeft w:val="0"/>
      <w:marRight w:val="0"/>
      <w:marTop w:val="0"/>
      <w:marBottom w:val="0"/>
      <w:divBdr>
        <w:top w:val="none" w:sz="0" w:space="0" w:color="auto"/>
        <w:left w:val="none" w:sz="0" w:space="0" w:color="auto"/>
        <w:bottom w:val="none" w:sz="0" w:space="0" w:color="auto"/>
        <w:right w:val="none" w:sz="0" w:space="0" w:color="auto"/>
      </w:divBdr>
    </w:div>
    <w:div w:id="1123620674">
      <w:bodyDiv w:val="1"/>
      <w:marLeft w:val="0"/>
      <w:marRight w:val="0"/>
      <w:marTop w:val="0"/>
      <w:marBottom w:val="0"/>
      <w:divBdr>
        <w:top w:val="none" w:sz="0" w:space="0" w:color="auto"/>
        <w:left w:val="none" w:sz="0" w:space="0" w:color="auto"/>
        <w:bottom w:val="none" w:sz="0" w:space="0" w:color="auto"/>
        <w:right w:val="none" w:sz="0" w:space="0" w:color="auto"/>
      </w:divBdr>
    </w:div>
    <w:div w:id="1294167038">
      <w:bodyDiv w:val="1"/>
      <w:marLeft w:val="0"/>
      <w:marRight w:val="0"/>
      <w:marTop w:val="0"/>
      <w:marBottom w:val="0"/>
      <w:divBdr>
        <w:top w:val="none" w:sz="0" w:space="0" w:color="auto"/>
        <w:left w:val="none" w:sz="0" w:space="0" w:color="auto"/>
        <w:bottom w:val="none" w:sz="0" w:space="0" w:color="auto"/>
        <w:right w:val="none" w:sz="0" w:space="0" w:color="auto"/>
      </w:divBdr>
    </w:div>
    <w:div w:id="1585262545">
      <w:bodyDiv w:val="1"/>
      <w:marLeft w:val="0"/>
      <w:marRight w:val="0"/>
      <w:marTop w:val="0"/>
      <w:marBottom w:val="0"/>
      <w:divBdr>
        <w:top w:val="none" w:sz="0" w:space="0" w:color="auto"/>
        <w:left w:val="none" w:sz="0" w:space="0" w:color="auto"/>
        <w:bottom w:val="none" w:sz="0" w:space="0" w:color="auto"/>
        <w:right w:val="none" w:sz="0" w:space="0" w:color="auto"/>
      </w:divBdr>
    </w:div>
    <w:div w:id="1653411880">
      <w:bodyDiv w:val="1"/>
      <w:marLeft w:val="0"/>
      <w:marRight w:val="0"/>
      <w:marTop w:val="0"/>
      <w:marBottom w:val="0"/>
      <w:divBdr>
        <w:top w:val="none" w:sz="0" w:space="0" w:color="auto"/>
        <w:left w:val="none" w:sz="0" w:space="0" w:color="auto"/>
        <w:bottom w:val="none" w:sz="0" w:space="0" w:color="auto"/>
        <w:right w:val="none" w:sz="0" w:space="0" w:color="auto"/>
      </w:divBdr>
    </w:div>
    <w:div w:id="199533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en"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F0919204-F32C-43A6-B715-8308A037E8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AB2017-E902-4EC3-8319-EB5E874CB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10718</Words>
  <Characters>58594</Characters>
  <Application>Microsoft Office Word</Application>
  <DocSecurity>0</DocSecurity>
  <Lines>1305</Lines>
  <Paragraphs>523</Paragraphs>
  <ScaleCrop>false</ScaleCrop>
  <Company/>
  <LinksUpToDate>false</LinksUpToDate>
  <CharactersWithSpaces>68889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428</cp:revision>
  <dcterms:created xsi:type="dcterms:W3CDTF">2024-10-16T02:45:00Z</dcterms:created>
  <dcterms:modified xsi:type="dcterms:W3CDTF">2026-04-13T15:15:00Z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79200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